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9AED" w14:textId="77777777" w:rsidR="006F172A" w:rsidRPr="000D729C" w:rsidRDefault="006F172A" w:rsidP="006F172A">
      <w:pPr>
        <w:pStyle w:val="rg"/>
        <w:rPr>
          <w:lang w:val="ro-RO"/>
        </w:rPr>
      </w:pPr>
      <w:r w:rsidRPr="000D729C">
        <w:rPr>
          <w:lang w:val="ro-RO"/>
        </w:rPr>
        <w:t xml:space="preserve">Anexă </w:t>
      </w:r>
    </w:p>
    <w:p w14:paraId="2A11AC14" w14:textId="77777777" w:rsidR="006F172A" w:rsidRPr="000D729C" w:rsidRDefault="006F172A" w:rsidP="006F172A">
      <w:pPr>
        <w:pStyle w:val="rg"/>
        <w:rPr>
          <w:lang w:val="ro-RO"/>
        </w:rPr>
      </w:pPr>
      <w:r w:rsidRPr="000D729C">
        <w:rPr>
          <w:lang w:val="ro-RO"/>
        </w:rPr>
        <w:t xml:space="preserve">la Hotărârea Consiliului de administraţie </w:t>
      </w:r>
    </w:p>
    <w:p w14:paraId="3CDDF52E" w14:textId="729F478A" w:rsidR="006F172A" w:rsidRPr="000D729C" w:rsidRDefault="00D2634A" w:rsidP="006F172A">
      <w:pPr>
        <w:pStyle w:val="rg"/>
        <w:rPr>
          <w:lang w:val="ro-RO"/>
        </w:rPr>
      </w:pPr>
      <w:r w:rsidRPr="000D729C">
        <w:rPr>
          <w:lang w:val="ro-RO"/>
        </w:rPr>
        <w:t xml:space="preserve">al ANRE </w:t>
      </w:r>
      <w:r w:rsidR="006F172A" w:rsidRPr="000D729C">
        <w:rPr>
          <w:lang w:val="ro-RO"/>
        </w:rPr>
        <w:t>nr.</w:t>
      </w:r>
      <w:r w:rsidRPr="000D729C">
        <w:rPr>
          <w:lang w:val="ro-RO"/>
        </w:rPr>
        <w:t xml:space="preserve">        </w:t>
      </w:r>
      <w:r w:rsidR="006F172A" w:rsidRPr="000D729C">
        <w:rPr>
          <w:lang w:val="ro-RO"/>
        </w:rPr>
        <w:t xml:space="preserve"> din </w:t>
      </w:r>
      <w:r w:rsidR="001A42EE" w:rsidRPr="000D729C">
        <w:rPr>
          <w:lang w:val="ro-RO"/>
        </w:rPr>
        <w:t xml:space="preserve">      </w:t>
      </w:r>
      <w:r w:rsidRPr="000D729C">
        <w:rPr>
          <w:lang w:val="ro-RO"/>
        </w:rPr>
        <w:t>2025</w:t>
      </w:r>
    </w:p>
    <w:p w14:paraId="5071072C" w14:textId="6087BF5A" w:rsidR="006F172A" w:rsidRPr="000D729C" w:rsidRDefault="006F172A" w:rsidP="006F172A">
      <w:pPr>
        <w:pStyle w:val="Title"/>
        <w:spacing w:before="0"/>
        <w:ind w:left="0" w:right="0"/>
        <w:jc w:val="left"/>
        <w:rPr>
          <w:rFonts w:ascii="Times New Roman" w:hAnsi="Times New Roman" w:cs="Times New Roman"/>
          <w:color w:val="00204F"/>
          <w:sz w:val="28"/>
          <w:szCs w:val="28"/>
        </w:rPr>
      </w:pPr>
    </w:p>
    <w:p w14:paraId="7146B6BE" w14:textId="77777777" w:rsidR="006F172A" w:rsidRPr="000D729C" w:rsidRDefault="006F172A" w:rsidP="000E179C">
      <w:pPr>
        <w:pStyle w:val="Title"/>
        <w:spacing w:before="0"/>
        <w:ind w:left="0" w:right="0"/>
        <w:rPr>
          <w:rFonts w:ascii="Times New Roman" w:hAnsi="Times New Roman" w:cs="Times New Roman"/>
          <w:sz w:val="28"/>
          <w:szCs w:val="28"/>
        </w:rPr>
      </w:pPr>
    </w:p>
    <w:p w14:paraId="3D13F65D" w14:textId="3CB11A32" w:rsidR="000E179C" w:rsidRPr="000D729C" w:rsidRDefault="000E179C" w:rsidP="000E179C">
      <w:pPr>
        <w:pStyle w:val="Title"/>
        <w:spacing w:before="0"/>
        <w:ind w:left="0" w:right="0"/>
        <w:rPr>
          <w:rFonts w:ascii="Times New Roman" w:hAnsi="Times New Roman" w:cs="Times New Roman"/>
          <w:sz w:val="28"/>
          <w:szCs w:val="28"/>
        </w:rPr>
      </w:pPr>
      <w:r w:rsidRPr="000D729C">
        <w:rPr>
          <w:rFonts w:ascii="Times New Roman" w:hAnsi="Times New Roman" w:cs="Times New Roman"/>
          <w:sz w:val="28"/>
          <w:szCs w:val="28"/>
        </w:rPr>
        <w:t>RAPORT</w:t>
      </w:r>
    </w:p>
    <w:p w14:paraId="41DF1963" w14:textId="77777777" w:rsidR="000E179C" w:rsidRPr="000D729C" w:rsidRDefault="000E179C" w:rsidP="000E179C">
      <w:pPr>
        <w:jc w:val="center"/>
        <w:rPr>
          <w:rFonts w:ascii="Times New Roman" w:hAnsi="Times New Roman" w:cs="Times New Roman"/>
          <w:b/>
          <w:sz w:val="28"/>
          <w:szCs w:val="28"/>
        </w:rPr>
      </w:pPr>
      <w:r w:rsidRPr="000D729C">
        <w:rPr>
          <w:rFonts w:ascii="Times New Roman" w:hAnsi="Times New Roman" w:cs="Times New Roman"/>
          <w:b/>
          <w:sz w:val="28"/>
          <w:szCs w:val="28"/>
        </w:rPr>
        <w:t xml:space="preserve">privind punerea în aplicare a măsurilor provizorii </w:t>
      </w:r>
    </w:p>
    <w:p w14:paraId="26DDCF5F" w14:textId="77777777" w:rsidR="000E179C" w:rsidRPr="000D729C" w:rsidRDefault="000E179C" w:rsidP="000E179C">
      <w:pPr>
        <w:jc w:val="center"/>
        <w:rPr>
          <w:rFonts w:ascii="Times New Roman" w:hAnsi="Times New Roman" w:cs="Times New Roman"/>
          <w:b/>
          <w:sz w:val="28"/>
          <w:szCs w:val="28"/>
        </w:rPr>
      </w:pPr>
      <w:r w:rsidRPr="000D729C">
        <w:rPr>
          <w:rFonts w:ascii="Times New Roman" w:hAnsi="Times New Roman" w:cs="Times New Roman"/>
          <w:b/>
          <w:sz w:val="28"/>
          <w:szCs w:val="28"/>
        </w:rPr>
        <w:t xml:space="preserve">de echilibrare </w:t>
      </w:r>
    </w:p>
    <w:p w14:paraId="26693246" w14:textId="77777777" w:rsidR="000E179C" w:rsidRPr="000D729C" w:rsidRDefault="000E179C" w:rsidP="00B43ED8">
      <w:pPr>
        <w:spacing w:line="276" w:lineRule="auto"/>
        <w:ind w:left="993" w:hanging="993"/>
        <w:jc w:val="center"/>
        <w:rPr>
          <w:rFonts w:ascii="Times New Roman" w:hAnsi="Times New Roman" w:cs="Times New Roman"/>
          <w:b/>
          <w:sz w:val="32"/>
          <w:szCs w:val="32"/>
        </w:rPr>
      </w:pPr>
    </w:p>
    <w:p w14:paraId="2CBA7B33" w14:textId="77777777" w:rsidR="000E179C" w:rsidRPr="000D729C" w:rsidRDefault="000E179C" w:rsidP="00251A69">
      <w:pPr>
        <w:pStyle w:val="Heading1"/>
        <w:numPr>
          <w:ilvl w:val="2"/>
          <w:numId w:val="1"/>
        </w:numPr>
        <w:tabs>
          <w:tab w:val="left" w:pos="284"/>
          <w:tab w:val="left" w:pos="709"/>
          <w:tab w:val="left" w:pos="993"/>
        </w:tabs>
        <w:spacing w:line="276" w:lineRule="auto"/>
        <w:ind w:left="0" w:firstLine="284"/>
        <w:jc w:val="left"/>
        <w:rPr>
          <w:rFonts w:ascii="Times New Roman" w:hAnsi="Times New Roman" w:cs="Times New Roman"/>
          <w:sz w:val="24"/>
          <w:szCs w:val="24"/>
        </w:rPr>
      </w:pPr>
      <w:bookmarkStart w:id="0" w:name="_TOC_250009"/>
      <w:bookmarkStart w:id="1" w:name="_Toc167708296"/>
      <w:bookmarkEnd w:id="0"/>
      <w:r w:rsidRPr="000D729C">
        <w:rPr>
          <w:rFonts w:ascii="Times New Roman" w:hAnsi="Times New Roman" w:cs="Times New Roman"/>
          <w:sz w:val="24"/>
          <w:szCs w:val="24"/>
        </w:rPr>
        <w:t>INTRODUCERE</w:t>
      </w:r>
      <w:bookmarkEnd w:id="1"/>
    </w:p>
    <w:p w14:paraId="09153038" w14:textId="77421759" w:rsidR="000E179C" w:rsidRPr="000D729C" w:rsidRDefault="000E179C" w:rsidP="000E179C">
      <w:pPr>
        <w:pStyle w:val="BodyText"/>
        <w:spacing w:before="1" w:line="276" w:lineRule="auto"/>
        <w:ind w:firstLine="720"/>
        <w:jc w:val="both"/>
        <w:rPr>
          <w:rFonts w:ascii="Times New Roman" w:hAnsi="Times New Roman" w:cs="Times New Roman"/>
          <w:sz w:val="24"/>
          <w:szCs w:val="24"/>
        </w:rPr>
      </w:pPr>
      <w:r w:rsidRPr="000D729C">
        <w:rPr>
          <w:rFonts w:ascii="Times New Roman" w:hAnsi="Times New Roman" w:cs="Times New Roman"/>
          <w:sz w:val="24"/>
          <w:szCs w:val="24"/>
        </w:rPr>
        <w:t xml:space="preserve">Operatorul sistemului de transport al gazelor naturale „Vestmoldtransgaz” S.R.L., constată necesitatea </w:t>
      </w:r>
      <w:r w:rsidR="00D2634A" w:rsidRPr="000D729C">
        <w:rPr>
          <w:rFonts w:ascii="Times New Roman" w:hAnsi="Times New Roman" w:cs="Times New Roman"/>
          <w:sz w:val="24"/>
          <w:szCs w:val="24"/>
        </w:rPr>
        <w:t xml:space="preserve">continuării </w:t>
      </w:r>
      <w:r w:rsidRPr="000D729C">
        <w:rPr>
          <w:rFonts w:ascii="Times New Roman" w:hAnsi="Times New Roman" w:cs="Times New Roman"/>
          <w:sz w:val="24"/>
          <w:szCs w:val="24"/>
        </w:rPr>
        <w:t>aplicării măsurilor provizorii de echilibrare reglementate în Titlul VI,  aprobat prin Hotărârea ANRE nr. 420/2019 (în continuare Codul rețelelor).</w:t>
      </w:r>
      <w:r w:rsidR="006F172A" w:rsidRPr="000D729C">
        <w:rPr>
          <w:rFonts w:ascii="Times New Roman" w:hAnsi="Times New Roman" w:cs="Times New Roman"/>
          <w:sz w:val="24"/>
          <w:szCs w:val="24"/>
        </w:rPr>
        <w:t xml:space="preserve"> </w:t>
      </w:r>
    </w:p>
    <w:p w14:paraId="0CE77BE9" w14:textId="6C899F6B" w:rsidR="000E179C" w:rsidRPr="000D729C" w:rsidRDefault="00D2634A" w:rsidP="00537693">
      <w:pPr>
        <w:pStyle w:val="BodyText"/>
        <w:spacing w:before="1"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„Vestmoldtransgaz” S.R.L. </w:t>
      </w:r>
      <w:r w:rsidR="000E179C" w:rsidRPr="000D729C">
        <w:rPr>
          <w:rFonts w:ascii="Times New Roman" w:hAnsi="Times New Roman" w:cs="Times New Roman"/>
          <w:sz w:val="24"/>
          <w:szCs w:val="24"/>
        </w:rPr>
        <w:t xml:space="preserve">în conformitate cu cadrul normativ în vigoare, desfășoară activități menite să </w:t>
      </w:r>
      <w:r w:rsidR="0090220B" w:rsidRPr="000D729C">
        <w:rPr>
          <w:rFonts w:ascii="Times New Roman" w:hAnsi="Times New Roman" w:cs="Times New Roman"/>
          <w:sz w:val="24"/>
          <w:szCs w:val="24"/>
        </w:rPr>
        <w:t xml:space="preserve">implementeze </w:t>
      </w:r>
      <w:r w:rsidR="000E179C" w:rsidRPr="000D729C">
        <w:rPr>
          <w:rFonts w:ascii="Times New Roman" w:hAnsi="Times New Roman" w:cs="Times New Roman"/>
          <w:sz w:val="24"/>
          <w:szCs w:val="24"/>
        </w:rPr>
        <w:t>mecanismelor optime pentru asigurarea echilibrării rețelelor de gaze naturale din zona de echilibrare a Republicii Moldova, necesare a fi aplicate în raport cu participanții la piața gazelor naturale.</w:t>
      </w:r>
    </w:p>
    <w:p w14:paraId="58D67624" w14:textId="2672FAC5" w:rsidR="000E179C" w:rsidRPr="000D729C" w:rsidRDefault="000E179C" w:rsidP="00732500">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În această ordine de idei, conducându-ne de prevederile Titlului VI din Codul rețelelor și Regulile pieței gazelor naturale</w:t>
      </w:r>
      <w:r w:rsidR="00537693" w:rsidRPr="000D729C">
        <w:rPr>
          <w:rFonts w:ascii="Times New Roman" w:hAnsi="Times New Roman" w:cs="Times New Roman"/>
          <w:sz w:val="24"/>
          <w:szCs w:val="24"/>
        </w:rPr>
        <w:t>,</w:t>
      </w:r>
      <w:r w:rsidRPr="000D729C">
        <w:rPr>
          <w:rFonts w:ascii="Times New Roman" w:hAnsi="Times New Roman" w:cs="Times New Roman"/>
          <w:sz w:val="24"/>
          <w:szCs w:val="24"/>
        </w:rPr>
        <w:t xml:space="preserve"> aprobate prin Hotărârea ANRE nr. 534/2019 (în continuare Regulile pieței gazelor naturale), „Vestmoldtransgaz” S</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R</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L</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 xml:space="preserve"> prezintă Raportul privind punerea în aplicare a măsurilor provizorii de echilibrare actualizat în vederea prelungirii termenului de valabilitate</w:t>
      </w:r>
      <w:r w:rsidR="00732500" w:rsidRPr="000D729C">
        <w:rPr>
          <w:rFonts w:ascii="Times New Roman" w:hAnsi="Times New Roman" w:cs="Times New Roman"/>
          <w:sz w:val="24"/>
          <w:szCs w:val="24"/>
        </w:rPr>
        <w:t xml:space="preserve"> al acestuia</w:t>
      </w:r>
      <w:r w:rsidR="0090220B" w:rsidRPr="000D729C">
        <w:rPr>
          <w:rFonts w:ascii="Times New Roman" w:hAnsi="Times New Roman" w:cs="Times New Roman"/>
          <w:sz w:val="24"/>
          <w:szCs w:val="24"/>
        </w:rPr>
        <w:t>,</w:t>
      </w:r>
      <w:r w:rsidRPr="000D729C">
        <w:rPr>
          <w:rFonts w:ascii="Times New Roman" w:hAnsi="Times New Roman" w:cs="Times New Roman"/>
          <w:sz w:val="24"/>
          <w:szCs w:val="24"/>
        </w:rPr>
        <w:t xml:space="preserve"> potrivit </w:t>
      </w:r>
      <w:r w:rsidR="001B2257" w:rsidRPr="000D729C">
        <w:rPr>
          <w:rFonts w:ascii="Times New Roman" w:hAnsi="Times New Roman" w:cs="Times New Roman"/>
          <w:sz w:val="24"/>
          <w:szCs w:val="24"/>
        </w:rPr>
        <w:t>pct.</w:t>
      </w:r>
      <w:r w:rsidR="00732500" w:rsidRPr="000D729C">
        <w:rPr>
          <w:rFonts w:ascii="Times New Roman" w:hAnsi="Times New Roman" w:cs="Times New Roman"/>
          <w:sz w:val="24"/>
          <w:szCs w:val="24"/>
        </w:rPr>
        <w:t xml:space="preserve"> 610 din </w:t>
      </w:r>
      <w:r w:rsidRPr="000D729C">
        <w:rPr>
          <w:rFonts w:ascii="Times New Roman" w:hAnsi="Times New Roman" w:cs="Times New Roman"/>
          <w:sz w:val="24"/>
          <w:szCs w:val="24"/>
        </w:rPr>
        <w:t>Codu</w:t>
      </w:r>
      <w:r w:rsidR="00CE660B" w:rsidRPr="000D729C">
        <w:rPr>
          <w:rFonts w:ascii="Times New Roman" w:hAnsi="Times New Roman" w:cs="Times New Roman"/>
          <w:sz w:val="24"/>
          <w:szCs w:val="24"/>
        </w:rPr>
        <w:t>l</w:t>
      </w:r>
      <w:r w:rsidRPr="000D729C">
        <w:rPr>
          <w:rFonts w:ascii="Times New Roman" w:hAnsi="Times New Roman" w:cs="Times New Roman"/>
          <w:sz w:val="24"/>
          <w:szCs w:val="24"/>
        </w:rPr>
        <w:t xml:space="preserve"> rețelelor.</w:t>
      </w:r>
    </w:p>
    <w:p w14:paraId="367F2276" w14:textId="2E1291AE" w:rsidR="000E179C" w:rsidRPr="000D729C" w:rsidRDefault="000E179C" w:rsidP="00537693">
      <w:pPr>
        <w:pStyle w:val="BodyText"/>
        <w:spacing w:before="47"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„Vestmoldtransgaz” S.R.L. asigur</w:t>
      </w:r>
      <w:r w:rsidR="00537693" w:rsidRPr="000D729C">
        <w:rPr>
          <w:rFonts w:ascii="Times New Roman" w:hAnsi="Times New Roman" w:cs="Times New Roman"/>
          <w:sz w:val="24"/>
          <w:szCs w:val="24"/>
        </w:rPr>
        <w:t>ă</w:t>
      </w:r>
      <w:r w:rsidRPr="000D729C">
        <w:rPr>
          <w:rFonts w:ascii="Times New Roman" w:hAnsi="Times New Roman" w:cs="Times New Roman"/>
          <w:sz w:val="24"/>
          <w:szCs w:val="24"/>
        </w:rPr>
        <w:t xml:space="preserve"> elaborarea și implementarea măsurilor provizorii </w:t>
      </w:r>
      <w:r w:rsidR="0090220B" w:rsidRPr="000D729C">
        <w:rPr>
          <w:rFonts w:ascii="Times New Roman" w:hAnsi="Times New Roman" w:cs="Times New Roman"/>
          <w:sz w:val="24"/>
          <w:szCs w:val="24"/>
        </w:rPr>
        <w:t xml:space="preserve">de echilibrare </w:t>
      </w:r>
      <w:r w:rsidRPr="000D729C">
        <w:rPr>
          <w:rFonts w:ascii="Times New Roman" w:hAnsi="Times New Roman" w:cs="Times New Roman"/>
          <w:sz w:val="24"/>
          <w:szCs w:val="24"/>
        </w:rPr>
        <w:t>prescrise de Codul rețelelor, în absența unei lichidități suficiente a pieței angro a gazelor naturale pe termen scurt. Acțiunile întreprinse de „Vestmoldtransgaz” S.R.L. în condițiile măsurilor provizorii propuse, au în calitate de obiectiv inițierea și susținerea dezvoltării factorilor de lichiditate a</w:t>
      </w:r>
      <w:r w:rsidR="00CE660B" w:rsidRPr="000D729C">
        <w:rPr>
          <w:rFonts w:ascii="Times New Roman" w:hAnsi="Times New Roman" w:cs="Times New Roman"/>
          <w:sz w:val="24"/>
          <w:szCs w:val="24"/>
        </w:rPr>
        <w:t>i</w:t>
      </w:r>
      <w:r w:rsidRPr="000D729C">
        <w:rPr>
          <w:rFonts w:ascii="Times New Roman" w:hAnsi="Times New Roman" w:cs="Times New Roman"/>
          <w:sz w:val="24"/>
          <w:szCs w:val="24"/>
        </w:rPr>
        <w:t xml:space="preserve"> pieței angro pe termen scurt.</w:t>
      </w:r>
    </w:p>
    <w:p w14:paraId="4659EB79" w14:textId="45312196" w:rsidR="000E179C" w:rsidRPr="000D729C" w:rsidRDefault="000E179C" w:rsidP="00537693">
      <w:pPr>
        <w:pStyle w:val="BodyText"/>
        <w:spacing w:before="44"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Pct. 603 sbp. 1 din Codul rețelelor stabilește cerințele cu privire la structura prezentului Raport care va include: o descriere</w:t>
      </w:r>
      <w:r w:rsidR="00CE660B" w:rsidRPr="000D729C">
        <w:rPr>
          <w:rFonts w:ascii="Times New Roman" w:hAnsi="Times New Roman" w:cs="Times New Roman"/>
          <w:sz w:val="24"/>
          <w:szCs w:val="24"/>
        </w:rPr>
        <w:t xml:space="preserve"> a </w:t>
      </w:r>
      <w:r w:rsidRPr="000D729C">
        <w:rPr>
          <w:rFonts w:ascii="Times New Roman" w:hAnsi="Times New Roman" w:cs="Times New Roman"/>
          <w:sz w:val="24"/>
          <w:szCs w:val="24"/>
        </w:rPr>
        <w:t xml:space="preserve">stadiului de dezvoltare și </w:t>
      </w:r>
      <w:r w:rsidR="0090220B" w:rsidRPr="000D729C">
        <w:rPr>
          <w:rFonts w:ascii="Times New Roman" w:hAnsi="Times New Roman" w:cs="Times New Roman"/>
          <w:sz w:val="24"/>
          <w:szCs w:val="24"/>
        </w:rPr>
        <w:t xml:space="preserve">de </w:t>
      </w:r>
      <w:r w:rsidRPr="000D729C">
        <w:rPr>
          <w:rFonts w:ascii="Times New Roman" w:hAnsi="Times New Roman" w:cs="Times New Roman"/>
          <w:sz w:val="24"/>
          <w:szCs w:val="24"/>
        </w:rPr>
        <w:t>lichiditate</w:t>
      </w:r>
      <w:r w:rsidR="0090220B" w:rsidRPr="000D729C">
        <w:rPr>
          <w:rFonts w:ascii="Times New Roman" w:hAnsi="Times New Roman" w:cs="Times New Roman"/>
          <w:sz w:val="24"/>
          <w:szCs w:val="24"/>
        </w:rPr>
        <w:t xml:space="preserve"> </w:t>
      </w:r>
      <w:r w:rsidRPr="000D729C">
        <w:rPr>
          <w:rFonts w:ascii="Times New Roman" w:hAnsi="Times New Roman" w:cs="Times New Roman"/>
          <w:sz w:val="24"/>
          <w:szCs w:val="24"/>
        </w:rPr>
        <w:t xml:space="preserve">a pieței angro a gazelor naturale pe termen scurt la momentul întocmirii Raportului, măsurile provizorii care urmează a fi aplicate, motivele aplicării măsurilor provizorii, precum și o descriere a măsurilor care vor fi luate în scopul eliminării </w:t>
      </w:r>
      <w:r w:rsidR="00732500" w:rsidRPr="000D729C">
        <w:rPr>
          <w:rFonts w:ascii="Times New Roman" w:hAnsi="Times New Roman" w:cs="Times New Roman"/>
          <w:sz w:val="24"/>
          <w:szCs w:val="24"/>
        </w:rPr>
        <w:t>acestora</w:t>
      </w:r>
      <w:r w:rsidRPr="000D729C">
        <w:rPr>
          <w:rFonts w:ascii="Times New Roman" w:hAnsi="Times New Roman" w:cs="Times New Roman"/>
          <w:sz w:val="24"/>
          <w:szCs w:val="24"/>
        </w:rPr>
        <w:t>.</w:t>
      </w:r>
    </w:p>
    <w:p w14:paraId="03009333" w14:textId="77777777" w:rsidR="000E179C" w:rsidRPr="000D729C" w:rsidRDefault="000E179C" w:rsidP="000E179C">
      <w:pPr>
        <w:pStyle w:val="BodyText"/>
        <w:spacing w:line="276" w:lineRule="auto"/>
        <w:ind w:firstLine="360"/>
        <w:jc w:val="both"/>
        <w:rPr>
          <w:rFonts w:ascii="Times New Roman" w:hAnsi="Times New Roman" w:cs="Times New Roman"/>
          <w:sz w:val="24"/>
          <w:szCs w:val="24"/>
        </w:rPr>
      </w:pPr>
    </w:p>
    <w:p w14:paraId="481BB8DC" w14:textId="77777777" w:rsidR="000E179C" w:rsidRPr="000D729C" w:rsidRDefault="000E179C" w:rsidP="0063593B">
      <w:pPr>
        <w:pStyle w:val="Heading1"/>
        <w:numPr>
          <w:ilvl w:val="2"/>
          <w:numId w:val="1"/>
        </w:numPr>
        <w:tabs>
          <w:tab w:val="left" w:pos="0"/>
          <w:tab w:val="left" w:pos="284"/>
        </w:tabs>
        <w:spacing w:line="276" w:lineRule="auto"/>
        <w:ind w:left="0" w:firstLine="284"/>
        <w:jc w:val="both"/>
        <w:rPr>
          <w:rFonts w:ascii="Times New Roman" w:hAnsi="Times New Roman" w:cs="Times New Roman"/>
          <w:sz w:val="24"/>
          <w:szCs w:val="24"/>
        </w:rPr>
      </w:pPr>
      <w:bookmarkStart w:id="2" w:name="_Toc167708297"/>
      <w:r w:rsidRPr="000D729C">
        <w:rPr>
          <w:rFonts w:ascii="Times New Roman" w:hAnsi="Times New Roman" w:cs="Times New Roman"/>
          <w:sz w:val="24"/>
          <w:szCs w:val="24"/>
        </w:rPr>
        <w:t>STADIUL ACTUAL DE DEZVOLTARE ŞI LICHIDITATEA PIEŢEI</w:t>
      </w:r>
      <w:bookmarkStart w:id="3" w:name="_TOC_250008"/>
      <w:r w:rsidRPr="000D729C">
        <w:rPr>
          <w:rFonts w:ascii="Times New Roman" w:hAnsi="Times New Roman" w:cs="Times New Roman"/>
          <w:sz w:val="24"/>
          <w:szCs w:val="24"/>
        </w:rPr>
        <w:t xml:space="preserve"> ANGRO A GAZELOR NATURALE PE TERMEN </w:t>
      </w:r>
      <w:bookmarkEnd w:id="3"/>
      <w:r w:rsidRPr="000D729C">
        <w:rPr>
          <w:rFonts w:ascii="Times New Roman" w:hAnsi="Times New Roman" w:cs="Times New Roman"/>
          <w:sz w:val="24"/>
          <w:szCs w:val="24"/>
        </w:rPr>
        <w:t>SCURT</w:t>
      </w:r>
      <w:bookmarkEnd w:id="2"/>
    </w:p>
    <w:p w14:paraId="2744A0EB" w14:textId="479D50AD" w:rsidR="000E179C" w:rsidRPr="000D729C" w:rsidRDefault="000E179C" w:rsidP="00732500">
      <w:pPr>
        <w:pStyle w:val="BodyText"/>
        <w:spacing w:before="37"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Lichiditatea pieței angro a gazelor naturale reprezintă un indicator esențial al gradului de dezvoltare și competitivitate a</w:t>
      </w:r>
      <w:r w:rsidR="00CE660B" w:rsidRPr="000D729C">
        <w:rPr>
          <w:rFonts w:ascii="Times New Roman" w:hAnsi="Times New Roman" w:cs="Times New Roman"/>
          <w:sz w:val="24"/>
          <w:szCs w:val="24"/>
        </w:rPr>
        <w:t>l</w:t>
      </w:r>
      <w:r w:rsidRPr="000D729C">
        <w:rPr>
          <w:rFonts w:ascii="Times New Roman" w:hAnsi="Times New Roman" w:cs="Times New Roman"/>
          <w:sz w:val="24"/>
          <w:szCs w:val="24"/>
        </w:rPr>
        <w:t xml:space="preserve"> pieței gazelor naturale. În prezent, aceasta se manifestă prin următoarele tendințe și particularități:</w:t>
      </w:r>
    </w:p>
    <w:p w14:paraId="0EDE19D6" w14:textId="3EC06840" w:rsidR="000E179C" w:rsidRPr="000D729C" w:rsidRDefault="000E179C" w:rsidP="0063593B">
      <w:pPr>
        <w:pStyle w:val="ListParagraph"/>
        <w:numPr>
          <w:ilvl w:val="0"/>
          <w:numId w:val="3"/>
        </w:numPr>
        <w:tabs>
          <w:tab w:val="left" w:pos="993"/>
          <w:tab w:val="left" w:pos="1701"/>
        </w:tabs>
        <w:spacing w:before="0" w:line="276" w:lineRule="auto"/>
        <w:ind w:left="0" w:firstLine="709"/>
        <w:jc w:val="both"/>
        <w:rPr>
          <w:rFonts w:ascii="Times New Roman" w:hAnsi="Times New Roman" w:cs="Times New Roman"/>
          <w:sz w:val="24"/>
          <w:szCs w:val="24"/>
        </w:rPr>
      </w:pPr>
      <w:r w:rsidRPr="000D729C">
        <w:rPr>
          <w:rFonts w:ascii="Times New Roman" w:hAnsi="Times New Roman" w:cs="Times New Roman"/>
          <w:sz w:val="24"/>
          <w:szCs w:val="24"/>
        </w:rPr>
        <w:t>Fluctuați</w:t>
      </w:r>
      <w:r w:rsidR="0063593B" w:rsidRPr="000D729C">
        <w:rPr>
          <w:rFonts w:ascii="Times New Roman" w:hAnsi="Times New Roman" w:cs="Times New Roman"/>
          <w:sz w:val="24"/>
          <w:szCs w:val="24"/>
        </w:rPr>
        <w:t>a</w:t>
      </w:r>
      <w:r w:rsidRPr="000D729C">
        <w:rPr>
          <w:rFonts w:ascii="Times New Roman" w:hAnsi="Times New Roman" w:cs="Times New Roman"/>
          <w:sz w:val="24"/>
          <w:szCs w:val="24"/>
        </w:rPr>
        <w:t xml:space="preserve"> prețurilor de achiziție a gazelor naturale pe piețele internaționale afectează capacitatea furnizorilor de a procura volume semnificative de gaze naturale;</w:t>
      </w:r>
    </w:p>
    <w:p w14:paraId="7991DEA3" w14:textId="25E61974" w:rsidR="000E179C" w:rsidRPr="000D729C" w:rsidRDefault="000E179C" w:rsidP="001B2257">
      <w:pPr>
        <w:pStyle w:val="ListParagraph"/>
        <w:numPr>
          <w:ilvl w:val="0"/>
          <w:numId w:val="3"/>
        </w:numPr>
        <w:tabs>
          <w:tab w:val="left" w:pos="993"/>
        </w:tabs>
        <w:spacing w:before="0" w:line="276" w:lineRule="auto"/>
        <w:ind w:left="142" w:firstLine="491"/>
        <w:jc w:val="both"/>
        <w:rPr>
          <w:rFonts w:ascii="Times New Roman" w:hAnsi="Times New Roman" w:cs="Times New Roman"/>
          <w:sz w:val="24"/>
          <w:szCs w:val="24"/>
        </w:rPr>
      </w:pPr>
      <w:r w:rsidRPr="000D729C">
        <w:rPr>
          <w:rFonts w:ascii="Times New Roman" w:hAnsi="Times New Roman" w:cs="Times New Roman"/>
          <w:sz w:val="24"/>
          <w:szCs w:val="24"/>
        </w:rPr>
        <w:t>Mecanisme</w:t>
      </w:r>
      <w:r w:rsidR="007E2F20" w:rsidRPr="000D729C">
        <w:rPr>
          <w:rFonts w:ascii="Times New Roman" w:hAnsi="Times New Roman" w:cs="Times New Roman"/>
          <w:sz w:val="24"/>
          <w:szCs w:val="24"/>
        </w:rPr>
        <w:t xml:space="preserve">le de integrare în </w:t>
      </w:r>
      <w:r w:rsidR="006B4094" w:rsidRPr="000D729C">
        <w:rPr>
          <w:rFonts w:ascii="Times New Roman" w:hAnsi="Times New Roman" w:cs="Times New Roman"/>
          <w:sz w:val="24"/>
          <w:szCs w:val="24"/>
        </w:rPr>
        <w:t xml:space="preserve">piețele </w:t>
      </w:r>
      <w:r w:rsidRPr="000D729C">
        <w:rPr>
          <w:rFonts w:ascii="Times New Roman" w:hAnsi="Times New Roman" w:cs="Times New Roman"/>
          <w:sz w:val="24"/>
          <w:szCs w:val="24"/>
        </w:rPr>
        <w:t xml:space="preserve">regionale </w:t>
      </w:r>
      <w:r w:rsidR="007E2F20" w:rsidRPr="000D729C">
        <w:rPr>
          <w:rFonts w:ascii="Times New Roman" w:hAnsi="Times New Roman" w:cs="Times New Roman"/>
          <w:sz w:val="24"/>
          <w:szCs w:val="24"/>
        </w:rPr>
        <w:t xml:space="preserve">se </w:t>
      </w:r>
      <w:r w:rsidR="00CE660B" w:rsidRPr="000D729C">
        <w:rPr>
          <w:rFonts w:ascii="Times New Roman" w:hAnsi="Times New Roman" w:cs="Times New Roman"/>
          <w:sz w:val="24"/>
          <w:szCs w:val="24"/>
        </w:rPr>
        <w:t>afl</w:t>
      </w:r>
      <w:r w:rsidR="007E2F20" w:rsidRPr="000D729C">
        <w:rPr>
          <w:rFonts w:ascii="Times New Roman" w:hAnsi="Times New Roman" w:cs="Times New Roman"/>
          <w:sz w:val="24"/>
          <w:szCs w:val="24"/>
        </w:rPr>
        <w:t>ă</w:t>
      </w:r>
      <w:r w:rsidR="00CE660B" w:rsidRPr="000D729C">
        <w:rPr>
          <w:rFonts w:ascii="Times New Roman" w:hAnsi="Times New Roman" w:cs="Times New Roman"/>
          <w:sz w:val="24"/>
          <w:szCs w:val="24"/>
        </w:rPr>
        <w:t xml:space="preserve"> </w:t>
      </w:r>
      <w:r w:rsidRPr="000D729C">
        <w:rPr>
          <w:rFonts w:ascii="Times New Roman" w:hAnsi="Times New Roman" w:cs="Times New Roman"/>
          <w:sz w:val="24"/>
          <w:szCs w:val="24"/>
        </w:rPr>
        <w:t>în proces de dezvoltare;</w:t>
      </w:r>
    </w:p>
    <w:p w14:paraId="1830E355" w14:textId="77777777" w:rsidR="007E2F20" w:rsidRPr="000D729C" w:rsidRDefault="000E179C" w:rsidP="00500C39">
      <w:pPr>
        <w:pStyle w:val="ListParagraph"/>
        <w:numPr>
          <w:ilvl w:val="0"/>
          <w:numId w:val="3"/>
        </w:numPr>
        <w:tabs>
          <w:tab w:val="left" w:pos="993"/>
          <w:tab w:val="left" w:pos="1701"/>
        </w:tabs>
        <w:spacing w:before="0" w:line="276" w:lineRule="auto"/>
        <w:ind w:left="0" w:firstLine="633"/>
        <w:jc w:val="both"/>
        <w:rPr>
          <w:rFonts w:ascii="Times New Roman" w:eastAsia="Times New Roman" w:hAnsi="Times New Roman"/>
          <w:b/>
          <w:sz w:val="24"/>
          <w:szCs w:val="24"/>
          <w:lang w:eastAsia="ar-SA"/>
        </w:rPr>
      </w:pPr>
      <w:r w:rsidRPr="000D729C">
        <w:rPr>
          <w:rFonts w:ascii="Times New Roman" w:hAnsi="Times New Roman" w:cs="Times New Roman"/>
          <w:sz w:val="24"/>
          <w:szCs w:val="24"/>
        </w:rPr>
        <w:t>Dezvoltarea platformelor de tranzacționare, precum cea operată de S</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R</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L</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 xml:space="preserve"> </w:t>
      </w:r>
      <w:r w:rsidR="00537693" w:rsidRPr="000D729C">
        <w:rPr>
          <w:rFonts w:ascii="Times New Roman" w:hAnsi="Times New Roman" w:cs="Times New Roman"/>
          <w:sz w:val="24"/>
          <w:szCs w:val="24"/>
        </w:rPr>
        <w:t>„</w:t>
      </w:r>
      <w:r w:rsidRPr="000D729C">
        <w:rPr>
          <w:rFonts w:ascii="Times New Roman" w:hAnsi="Times New Roman" w:cs="Times New Roman"/>
          <w:sz w:val="24"/>
          <w:szCs w:val="24"/>
        </w:rPr>
        <w:t>Bursa Română de Mărfuri (Romanian Comodities Exchange</w:t>
      </w:r>
      <w:r w:rsidR="00D464BC" w:rsidRPr="000D729C">
        <w:rPr>
          <w:rFonts w:ascii="Times New Roman" w:hAnsi="Times New Roman" w:cs="Times New Roman"/>
          <w:sz w:val="24"/>
          <w:szCs w:val="24"/>
        </w:rPr>
        <w:t xml:space="preserve">) </w:t>
      </w:r>
      <w:r w:rsidRPr="000D729C">
        <w:rPr>
          <w:rFonts w:ascii="Times New Roman" w:hAnsi="Times New Roman" w:cs="Times New Roman"/>
          <w:sz w:val="24"/>
          <w:szCs w:val="24"/>
        </w:rPr>
        <w:t>Est” și alte mecanisme electronice, facilitează tranzacționarea transparentă și concurențială, contribuind la formarea unui preț de referință;</w:t>
      </w:r>
      <w:r w:rsidR="00537693" w:rsidRPr="000D729C">
        <w:rPr>
          <w:rFonts w:ascii="Times New Roman" w:hAnsi="Times New Roman" w:cs="Times New Roman"/>
          <w:sz w:val="24"/>
          <w:szCs w:val="24"/>
        </w:rPr>
        <w:t xml:space="preserve"> </w:t>
      </w:r>
    </w:p>
    <w:p w14:paraId="5814048F" w14:textId="257F1AB9" w:rsidR="001B2257" w:rsidRPr="000D729C" w:rsidRDefault="001B2257" w:rsidP="00500C39">
      <w:pPr>
        <w:pStyle w:val="ListParagraph"/>
        <w:numPr>
          <w:ilvl w:val="0"/>
          <w:numId w:val="3"/>
        </w:numPr>
        <w:tabs>
          <w:tab w:val="left" w:pos="993"/>
          <w:tab w:val="left" w:pos="1701"/>
        </w:tabs>
        <w:spacing w:before="0" w:line="276" w:lineRule="auto"/>
        <w:ind w:left="0" w:firstLine="633"/>
        <w:jc w:val="both"/>
        <w:rPr>
          <w:rFonts w:ascii="Times New Roman" w:eastAsia="Times New Roman" w:hAnsi="Times New Roman"/>
          <w:b/>
          <w:sz w:val="24"/>
          <w:szCs w:val="24"/>
          <w:lang w:eastAsia="ar-SA"/>
        </w:rPr>
      </w:pPr>
      <w:r w:rsidRPr="000D729C">
        <w:rPr>
          <w:rFonts w:ascii="Times New Roman" w:hAnsi="Times New Roman" w:cs="Times New Roman"/>
          <w:sz w:val="24"/>
          <w:szCs w:val="24"/>
        </w:rPr>
        <w:lastRenderedPageBreak/>
        <w:t>Creșterea graduală a volumelor tranzacționate pe piața liberă, ca urmare a aprobării Hotărârii ANRE nr. 564/2025 cu privire la stabilirea calendarului privind restricționarea graduală a accesului consumatorilor noncasnici mari și mijlocii la furnizarea gazelor naturale în contextul obligației de serviciu public prevăzute la art. 89 alin. (1) din</w:t>
      </w:r>
      <w:r w:rsidRPr="000D729C">
        <w:rPr>
          <w:rFonts w:ascii="Times New Roman" w:eastAsia="Times New Roman" w:hAnsi="Times New Roman"/>
          <w:b/>
          <w:sz w:val="24"/>
          <w:szCs w:val="24"/>
          <w:lang w:eastAsia="ar-SA"/>
        </w:rPr>
        <w:t xml:space="preserve"> </w:t>
      </w:r>
      <w:r w:rsidRPr="000D729C">
        <w:rPr>
          <w:rFonts w:ascii="Times New Roman" w:eastAsia="Times New Roman" w:hAnsi="Times New Roman"/>
          <w:sz w:val="24"/>
          <w:szCs w:val="24"/>
          <w:lang w:eastAsia="ar-SA"/>
        </w:rPr>
        <w:t>Legea nr. 108/2016 cu privire la gazele naturale</w:t>
      </w:r>
      <w:r w:rsidR="00537693" w:rsidRPr="000D729C">
        <w:rPr>
          <w:rFonts w:ascii="Times New Roman" w:eastAsia="Times New Roman" w:hAnsi="Times New Roman"/>
          <w:sz w:val="24"/>
          <w:szCs w:val="24"/>
          <w:lang w:eastAsia="ar-SA"/>
        </w:rPr>
        <w:t>;</w:t>
      </w:r>
    </w:p>
    <w:p w14:paraId="67439A9A" w14:textId="076B4B10" w:rsidR="000E179C" w:rsidRPr="000D729C" w:rsidRDefault="000E179C" w:rsidP="00500C39">
      <w:pPr>
        <w:pStyle w:val="ListParagraph"/>
        <w:numPr>
          <w:ilvl w:val="0"/>
          <w:numId w:val="3"/>
        </w:numPr>
        <w:tabs>
          <w:tab w:val="left" w:pos="993"/>
        </w:tabs>
        <w:spacing w:before="0" w:line="276" w:lineRule="auto"/>
        <w:ind w:left="0" w:firstLine="633"/>
        <w:jc w:val="both"/>
        <w:rPr>
          <w:rFonts w:ascii="Times New Roman" w:hAnsi="Times New Roman" w:cs="Times New Roman"/>
          <w:sz w:val="24"/>
          <w:szCs w:val="24"/>
        </w:rPr>
      </w:pPr>
      <w:r w:rsidRPr="000D729C">
        <w:rPr>
          <w:rFonts w:ascii="Times New Roman" w:hAnsi="Times New Roman" w:cs="Times New Roman"/>
          <w:sz w:val="24"/>
          <w:szCs w:val="24"/>
        </w:rPr>
        <w:t>Participarea limitată</w:t>
      </w:r>
      <w:r w:rsidR="001B2257" w:rsidRPr="000D729C">
        <w:rPr>
          <w:rFonts w:ascii="Times New Roman" w:hAnsi="Times New Roman" w:cs="Times New Roman"/>
          <w:sz w:val="24"/>
          <w:szCs w:val="24"/>
        </w:rPr>
        <w:t xml:space="preserve"> la piață</w:t>
      </w:r>
      <w:r w:rsidRPr="000D729C">
        <w:rPr>
          <w:rFonts w:ascii="Times New Roman" w:hAnsi="Times New Roman" w:cs="Times New Roman"/>
          <w:sz w:val="24"/>
          <w:szCs w:val="24"/>
        </w:rPr>
        <w:t xml:space="preserve"> a traderilor internaționali și a consumatorilor eligibili, reduce lichiditatea zilnică a pieței</w:t>
      </w:r>
      <w:r w:rsidRPr="000D729C">
        <w:rPr>
          <w:rFonts w:ascii="Times New Roman" w:hAnsi="Times New Roman" w:cs="Times New Roman"/>
        </w:rPr>
        <w:t>.</w:t>
      </w:r>
    </w:p>
    <w:p w14:paraId="30D8406C" w14:textId="77777777" w:rsidR="000E179C" w:rsidRPr="000D729C" w:rsidRDefault="000E179C" w:rsidP="00537693">
      <w:pPr>
        <w:pStyle w:val="BodyText"/>
        <w:tabs>
          <w:tab w:val="left" w:pos="426"/>
          <w:tab w:val="left" w:pos="709"/>
          <w:tab w:val="left" w:pos="1276"/>
        </w:tabs>
        <w:spacing w:before="120" w:line="276" w:lineRule="auto"/>
        <w:jc w:val="both"/>
        <w:rPr>
          <w:rFonts w:ascii="Times New Roman" w:hAnsi="Times New Roman" w:cs="Times New Roman"/>
          <w:sz w:val="24"/>
          <w:szCs w:val="24"/>
        </w:rPr>
      </w:pPr>
      <w:bookmarkStart w:id="4" w:name="_Hlk212631065"/>
      <w:r w:rsidRPr="000D729C">
        <w:rPr>
          <w:rFonts w:ascii="Times New Roman" w:hAnsi="Times New Roman" w:cs="Times New Roman"/>
          <w:b/>
          <w:bCs/>
          <w:sz w:val="24"/>
          <w:szCs w:val="24"/>
        </w:rPr>
        <w:t>2.1.</w:t>
      </w:r>
      <w:r w:rsidRPr="000D729C">
        <w:rPr>
          <w:rFonts w:ascii="Times New Roman" w:hAnsi="Times New Roman" w:cs="Times New Roman"/>
          <w:sz w:val="24"/>
          <w:szCs w:val="24"/>
        </w:rPr>
        <w:tab/>
      </w:r>
      <w:r w:rsidRPr="000D729C">
        <w:rPr>
          <w:rFonts w:ascii="Times New Roman" w:hAnsi="Times New Roman" w:cs="Times New Roman"/>
          <w:b/>
          <w:bCs/>
          <w:sz w:val="24"/>
          <w:szCs w:val="24"/>
        </w:rPr>
        <w:t>Titularii de licență în sectorul gazelor naturale</w:t>
      </w:r>
    </w:p>
    <w:p w14:paraId="732C4865" w14:textId="6BC11ADD" w:rsidR="000E179C" w:rsidRPr="000D729C" w:rsidRDefault="000E179C" w:rsidP="00537693">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Conform Registrului de licențiere</w:t>
      </w:r>
      <w:r w:rsidR="00185A5E" w:rsidRPr="000D729C">
        <w:rPr>
          <w:rFonts w:ascii="Times New Roman" w:hAnsi="Times New Roman" w:cs="Times New Roman"/>
          <w:sz w:val="24"/>
          <w:szCs w:val="24"/>
        </w:rPr>
        <w:t xml:space="preserve"> al ANRE</w:t>
      </w:r>
      <w:r w:rsidRPr="000D729C">
        <w:rPr>
          <w:rStyle w:val="FootnoteReference"/>
          <w:rFonts w:ascii="Times New Roman" w:hAnsi="Times New Roman" w:cs="Times New Roman"/>
          <w:sz w:val="24"/>
          <w:szCs w:val="24"/>
        </w:rPr>
        <w:footnoteReference w:id="1"/>
      </w:r>
      <w:r w:rsidRPr="000D729C">
        <w:rPr>
          <w:rFonts w:ascii="Times New Roman" w:hAnsi="Times New Roman" w:cs="Times New Roman"/>
          <w:sz w:val="24"/>
          <w:szCs w:val="24"/>
        </w:rPr>
        <w:t xml:space="preserve"> la data de</w:t>
      </w:r>
      <w:r w:rsidRPr="000D729C">
        <w:rPr>
          <w:rFonts w:ascii="Times New Roman" w:hAnsi="Times New Roman" w:cs="Times New Roman"/>
          <w:b/>
          <w:bCs/>
          <w:sz w:val="24"/>
          <w:szCs w:val="24"/>
        </w:rPr>
        <w:t xml:space="preserve"> 1 noiembrie 2025</w:t>
      </w:r>
      <w:r w:rsidRPr="000D729C">
        <w:rPr>
          <w:rFonts w:ascii="Times New Roman" w:hAnsi="Times New Roman" w:cs="Times New Roman"/>
          <w:sz w:val="24"/>
          <w:szCs w:val="24"/>
        </w:rPr>
        <w:t xml:space="preserve">, pe piața gazelor naturale din Republica Moldova activează </w:t>
      </w:r>
      <w:r w:rsidRPr="000D729C">
        <w:rPr>
          <w:rFonts w:ascii="Times New Roman" w:hAnsi="Times New Roman" w:cs="Times New Roman"/>
          <w:b/>
          <w:bCs/>
          <w:sz w:val="24"/>
          <w:szCs w:val="24"/>
        </w:rPr>
        <w:t>31 de titulari</w:t>
      </w:r>
      <w:r w:rsidRPr="000D729C">
        <w:rPr>
          <w:rFonts w:ascii="Times New Roman" w:hAnsi="Times New Roman" w:cs="Times New Roman"/>
          <w:sz w:val="24"/>
          <w:szCs w:val="24"/>
        </w:rPr>
        <w:t xml:space="preserve"> de licență pentru furnizarea gazelor naturale. </w:t>
      </w:r>
    </w:p>
    <w:p w14:paraId="79403AD9" w14:textId="23A3E93F" w:rsidR="000E179C" w:rsidRPr="000D729C" w:rsidRDefault="000E179C" w:rsidP="00500C39">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Numărul titularilor de licențe care </w:t>
      </w:r>
      <w:r w:rsidR="00025040" w:rsidRPr="000D729C">
        <w:rPr>
          <w:rFonts w:ascii="Times New Roman" w:hAnsi="Times New Roman" w:cs="Times New Roman"/>
          <w:sz w:val="24"/>
          <w:szCs w:val="24"/>
        </w:rPr>
        <w:t xml:space="preserve">au </w:t>
      </w:r>
      <w:r w:rsidRPr="000D729C">
        <w:rPr>
          <w:rFonts w:ascii="Times New Roman" w:hAnsi="Times New Roman" w:cs="Times New Roman"/>
          <w:sz w:val="24"/>
          <w:szCs w:val="24"/>
        </w:rPr>
        <w:t>activ</w:t>
      </w:r>
      <w:r w:rsidR="00025040" w:rsidRPr="000D729C">
        <w:rPr>
          <w:rFonts w:ascii="Times New Roman" w:hAnsi="Times New Roman" w:cs="Times New Roman"/>
          <w:sz w:val="24"/>
          <w:szCs w:val="24"/>
        </w:rPr>
        <w:t>at</w:t>
      </w:r>
      <w:r w:rsidRPr="000D729C">
        <w:rPr>
          <w:rFonts w:ascii="Times New Roman" w:hAnsi="Times New Roman" w:cs="Times New Roman"/>
          <w:sz w:val="24"/>
          <w:szCs w:val="24"/>
        </w:rPr>
        <w:t xml:space="preserve"> în sectorul gazelor naturale în perioada ianuarie 2024</w:t>
      </w:r>
      <w:r w:rsidR="00025040" w:rsidRPr="000D729C">
        <w:rPr>
          <w:rFonts w:ascii="Times New Roman" w:hAnsi="Times New Roman" w:cs="Times New Roman"/>
          <w:sz w:val="24"/>
          <w:szCs w:val="24"/>
        </w:rPr>
        <w:t xml:space="preserve"> </w:t>
      </w:r>
      <w:r w:rsidRPr="000D729C">
        <w:rPr>
          <w:rFonts w:ascii="Times New Roman" w:hAnsi="Times New Roman" w:cs="Times New Roman"/>
          <w:sz w:val="24"/>
          <w:szCs w:val="24"/>
        </w:rPr>
        <w:t>-</w:t>
      </w:r>
      <w:r w:rsidR="001B2257" w:rsidRPr="000D729C">
        <w:rPr>
          <w:rFonts w:ascii="Times New Roman" w:hAnsi="Times New Roman" w:cs="Times New Roman"/>
          <w:sz w:val="24"/>
          <w:szCs w:val="24"/>
        </w:rPr>
        <w:t xml:space="preserve"> </w:t>
      </w:r>
      <w:r w:rsidRPr="000D729C">
        <w:rPr>
          <w:rFonts w:ascii="Times New Roman" w:hAnsi="Times New Roman" w:cs="Times New Roman"/>
          <w:sz w:val="24"/>
          <w:szCs w:val="24"/>
        </w:rPr>
        <w:t>octombrie 2025 este prezentat în Tabelul de mai jos:</w:t>
      </w:r>
    </w:p>
    <w:tbl>
      <w:tblPr>
        <w:tblStyle w:val="TableGrid"/>
        <w:tblW w:w="0" w:type="auto"/>
        <w:tblInd w:w="108" w:type="dxa"/>
        <w:tblLook w:val="04A0" w:firstRow="1" w:lastRow="0" w:firstColumn="1" w:lastColumn="0" w:noHBand="0" w:noVBand="1"/>
      </w:tblPr>
      <w:tblGrid>
        <w:gridCol w:w="827"/>
        <w:gridCol w:w="5468"/>
        <w:gridCol w:w="1539"/>
        <w:gridCol w:w="1743"/>
      </w:tblGrid>
      <w:tr w:rsidR="000E179C" w:rsidRPr="000D729C" w14:paraId="344AB115" w14:textId="77777777" w:rsidTr="00B43ED8">
        <w:tc>
          <w:tcPr>
            <w:tcW w:w="851" w:type="dxa"/>
            <w:vMerge w:val="restart"/>
            <w:vAlign w:val="center"/>
          </w:tcPr>
          <w:p w14:paraId="301E8F05"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Nr.</w:t>
            </w:r>
          </w:p>
        </w:tc>
        <w:tc>
          <w:tcPr>
            <w:tcW w:w="5812" w:type="dxa"/>
            <w:vMerge w:val="restart"/>
            <w:vAlign w:val="center"/>
          </w:tcPr>
          <w:p w14:paraId="1F6173C8"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Genurile de activitate</w:t>
            </w:r>
          </w:p>
        </w:tc>
        <w:tc>
          <w:tcPr>
            <w:tcW w:w="3339" w:type="dxa"/>
            <w:gridSpan w:val="2"/>
            <w:vAlign w:val="center"/>
          </w:tcPr>
          <w:p w14:paraId="78A385A3"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Numărul titularilor de licențe</w:t>
            </w:r>
          </w:p>
        </w:tc>
      </w:tr>
      <w:tr w:rsidR="000E179C" w:rsidRPr="000D729C" w14:paraId="71A52415" w14:textId="77777777" w:rsidTr="00B43ED8">
        <w:tc>
          <w:tcPr>
            <w:tcW w:w="851" w:type="dxa"/>
            <w:vMerge/>
            <w:vAlign w:val="center"/>
          </w:tcPr>
          <w:p w14:paraId="307837A4"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p>
        </w:tc>
        <w:tc>
          <w:tcPr>
            <w:tcW w:w="5812" w:type="dxa"/>
            <w:vMerge/>
            <w:vAlign w:val="center"/>
          </w:tcPr>
          <w:p w14:paraId="0EFB4D39"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p>
        </w:tc>
        <w:tc>
          <w:tcPr>
            <w:tcW w:w="1559" w:type="dxa"/>
            <w:vAlign w:val="center"/>
          </w:tcPr>
          <w:p w14:paraId="59CE317D" w14:textId="3828A5DD"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01.01.2024</w:t>
            </w:r>
          </w:p>
        </w:tc>
        <w:tc>
          <w:tcPr>
            <w:tcW w:w="1780" w:type="dxa"/>
            <w:vAlign w:val="center"/>
          </w:tcPr>
          <w:p w14:paraId="564D6193" w14:textId="59FAE822"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31.10.2025</w:t>
            </w:r>
          </w:p>
        </w:tc>
      </w:tr>
      <w:tr w:rsidR="000E179C" w:rsidRPr="000D729C" w14:paraId="30BADF1B" w14:textId="77777777" w:rsidTr="00251A69">
        <w:tc>
          <w:tcPr>
            <w:tcW w:w="851" w:type="dxa"/>
            <w:vAlign w:val="center"/>
          </w:tcPr>
          <w:p w14:paraId="6766381B" w14:textId="77777777" w:rsidR="000E179C" w:rsidRPr="000D729C" w:rsidRDefault="000E179C" w:rsidP="004A17FD">
            <w:pPr>
              <w:pStyle w:val="BodyText"/>
              <w:numPr>
                <w:ilvl w:val="0"/>
                <w:numId w:val="14"/>
              </w:numPr>
              <w:spacing w:line="276" w:lineRule="auto"/>
              <w:jc w:val="center"/>
              <w:rPr>
                <w:rFonts w:ascii="Times New Roman" w:hAnsi="Times New Roman" w:cs="Times New Roman"/>
                <w:sz w:val="24"/>
                <w:szCs w:val="24"/>
                <w:lang w:val="ro-RO"/>
              </w:rPr>
            </w:pPr>
          </w:p>
        </w:tc>
        <w:tc>
          <w:tcPr>
            <w:tcW w:w="5812" w:type="dxa"/>
          </w:tcPr>
          <w:p w14:paraId="57835506" w14:textId="77777777" w:rsidR="000E179C" w:rsidRPr="000D729C" w:rsidRDefault="000E179C" w:rsidP="00EE462B">
            <w:pPr>
              <w:pStyle w:val="BodyText"/>
              <w:spacing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Transportul gazelor naturale</w:t>
            </w:r>
          </w:p>
        </w:tc>
        <w:tc>
          <w:tcPr>
            <w:tcW w:w="1559" w:type="dxa"/>
            <w:vAlign w:val="center"/>
          </w:tcPr>
          <w:p w14:paraId="6461B2A0"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1</w:t>
            </w:r>
          </w:p>
        </w:tc>
        <w:tc>
          <w:tcPr>
            <w:tcW w:w="1780" w:type="dxa"/>
            <w:vAlign w:val="center"/>
          </w:tcPr>
          <w:p w14:paraId="130E901A"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1</w:t>
            </w:r>
          </w:p>
        </w:tc>
      </w:tr>
      <w:tr w:rsidR="000E179C" w:rsidRPr="000D729C" w14:paraId="6D86AABE" w14:textId="77777777" w:rsidTr="00251A69">
        <w:tc>
          <w:tcPr>
            <w:tcW w:w="851" w:type="dxa"/>
            <w:vAlign w:val="center"/>
          </w:tcPr>
          <w:p w14:paraId="0C0DE85A" w14:textId="77777777" w:rsidR="000E179C" w:rsidRPr="000D729C" w:rsidRDefault="000E179C" w:rsidP="004A17FD">
            <w:pPr>
              <w:pStyle w:val="BodyText"/>
              <w:numPr>
                <w:ilvl w:val="0"/>
                <w:numId w:val="14"/>
              </w:numPr>
              <w:spacing w:line="276" w:lineRule="auto"/>
              <w:jc w:val="center"/>
              <w:rPr>
                <w:rFonts w:ascii="Times New Roman" w:hAnsi="Times New Roman" w:cs="Times New Roman"/>
                <w:sz w:val="24"/>
                <w:szCs w:val="24"/>
                <w:lang w:val="ro-RO"/>
              </w:rPr>
            </w:pPr>
          </w:p>
        </w:tc>
        <w:tc>
          <w:tcPr>
            <w:tcW w:w="5812" w:type="dxa"/>
          </w:tcPr>
          <w:p w14:paraId="0C977A7F" w14:textId="77777777" w:rsidR="000E179C" w:rsidRPr="000D729C" w:rsidRDefault="000E179C" w:rsidP="00EE462B">
            <w:pPr>
              <w:pStyle w:val="BodyText"/>
              <w:spacing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Distribuția gazelor naturale</w:t>
            </w:r>
          </w:p>
        </w:tc>
        <w:tc>
          <w:tcPr>
            <w:tcW w:w="1559" w:type="dxa"/>
            <w:vAlign w:val="center"/>
          </w:tcPr>
          <w:p w14:paraId="2A431DA6"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20</w:t>
            </w:r>
          </w:p>
        </w:tc>
        <w:tc>
          <w:tcPr>
            <w:tcW w:w="1780" w:type="dxa"/>
            <w:vAlign w:val="center"/>
          </w:tcPr>
          <w:p w14:paraId="6BD53607"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18</w:t>
            </w:r>
          </w:p>
        </w:tc>
      </w:tr>
      <w:tr w:rsidR="000E179C" w:rsidRPr="000D729C" w14:paraId="3F2B7367" w14:textId="77777777" w:rsidTr="00251A69">
        <w:tc>
          <w:tcPr>
            <w:tcW w:w="851" w:type="dxa"/>
            <w:vAlign w:val="center"/>
          </w:tcPr>
          <w:p w14:paraId="62513322" w14:textId="77777777" w:rsidR="000E179C" w:rsidRPr="000D729C" w:rsidRDefault="000E179C" w:rsidP="004A17FD">
            <w:pPr>
              <w:pStyle w:val="BodyText"/>
              <w:numPr>
                <w:ilvl w:val="0"/>
                <w:numId w:val="14"/>
              </w:numPr>
              <w:spacing w:line="276" w:lineRule="auto"/>
              <w:jc w:val="center"/>
              <w:rPr>
                <w:rFonts w:ascii="Times New Roman" w:hAnsi="Times New Roman" w:cs="Times New Roman"/>
                <w:sz w:val="24"/>
                <w:szCs w:val="24"/>
                <w:lang w:val="ro-RO"/>
              </w:rPr>
            </w:pPr>
          </w:p>
        </w:tc>
        <w:tc>
          <w:tcPr>
            <w:tcW w:w="5812" w:type="dxa"/>
          </w:tcPr>
          <w:p w14:paraId="60237FC8" w14:textId="77777777" w:rsidR="000E179C" w:rsidRPr="000D729C" w:rsidRDefault="000E179C" w:rsidP="00EE462B">
            <w:pPr>
              <w:pStyle w:val="BodyText"/>
              <w:spacing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Furnizarea gazelor naturale</w:t>
            </w:r>
          </w:p>
        </w:tc>
        <w:tc>
          <w:tcPr>
            <w:tcW w:w="1559" w:type="dxa"/>
            <w:vAlign w:val="center"/>
          </w:tcPr>
          <w:p w14:paraId="4CEA1317"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24</w:t>
            </w:r>
          </w:p>
        </w:tc>
        <w:tc>
          <w:tcPr>
            <w:tcW w:w="1780" w:type="dxa"/>
            <w:vAlign w:val="center"/>
          </w:tcPr>
          <w:p w14:paraId="4AEB47B9"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31</w:t>
            </w:r>
          </w:p>
        </w:tc>
      </w:tr>
      <w:tr w:rsidR="000E179C" w:rsidRPr="000D729C" w14:paraId="454C8E99" w14:textId="77777777" w:rsidTr="00251A69">
        <w:tc>
          <w:tcPr>
            <w:tcW w:w="851" w:type="dxa"/>
            <w:vAlign w:val="center"/>
          </w:tcPr>
          <w:p w14:paraId="00F6FF2D" w14:textId="77777777" w:rsidR="000E179C" w:rsidRPr="000D729C" w:rsidRDefault="000E179C" w:rsidP="004A17FD">
            <w:pPr>
              <w:pStyle w:val="BodyText"/>
              <w:numPr>
                <w:ilvl w:val="0"/>
                <w:numId w:val="14"/>
              </w:numPr>
              <w:spacing w:line="276" w:lineRule="auto"/>
              <w:jc w:val="center"/>
              <w:rPr>
                <w:rFonts w:ascii="Times New Roman" w:hAnsi="Times New Roman" w:cs="Times New Roman"/>
                <w:sz w:val="24"/>
                <w:szCs w:val="24"/>
                <w:lang w:val="ro-RO"/>
              </w:rPr>
            </w:pPr>
          </w:p>
        </w:tc>
        <w:tc>
          <w:tcPr>
            <w:tcW w:w="5812" w:type="dxa"/>
          </w:tcPr>
          <w:p w14:paraId="1EA82323" w14:textId="77777777" w:rsidR="000E179C" w:rsidRPr="000D729C" w:rsidRDefault="000E179C" w:rsidP="00EE462B">
            <w:pPr>
              <w:pStyle w:val="BodyText"/>
              <w:spacing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Tradingul gazelor naturale</w:t>
            </w:r>
          </w:p>
        </w:tc>
        <w:tc>
          <w:tcPr>
            <w:tcW w:w="1559" w:type="dxa"/>
            <w:vAlign w:val="center"/>
          </w:tcPr>
          <w:p w14:paraId="3358BBA0"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0</w:t>
            </w:r>
          </w:p>
        </w:tc>
        <w:tc>
          <w:tcPr>
            <w:tcW w:w="1780" w:type="dxa"/>
            <w:vAlign w:val="center"/>
          </w:tcPr>
          <w:p w14:paraId="6E22BA28"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5</w:t>
            </w:r>
          </w:p>
        </w:tc>
      </w:tr>
      <w:tr w:rsidR="000E179C" w:rsidRPr="000D729C" w14:paraId="55DED345" w14:textId="77777777" w:rsidTr="00251A69">
        <w:tc>
          <w:tcPr>
            <w:tcW w:w="851" w:type="dxa"/>
            <w:vAlign w:val="center"/>
          </w:tcPr>
          <w:p w14:paraId="250761C5" w14:textId="77777777" w:rsidR="000E179C" w:rsidRPr="000D729C" w:rsidRDefault="000E179C" w:rsidP="004A17FD">
            <w:pPr>
              <w:pStyle w:val="BodyText"/>
              <w:numPr>
                <w:ilvl w:val="0"/>
                <w:numId w:val="14"/>
              </w:numPr>
              <w:spacing w:line="276" w:lineRule="auto"/>
              <w:jc w:val="center"/>
              <w:rPr>
                <w:rFonts w:ascii="Times New Roman" w:hAnsi="Times New Roman" w:cs="Times New Roman"/>
                <w:sz w:val="24"/>
                <w:szCs w:val="24"/>
                <w:lang w:val="ro-RO"/>
              </w:rPr>
            </w:pPr>
          </w:p>
        </w:tc>
        <w:tc>
          <w:tcPr>
            <w:tcW w:w="5812" w:type="dxa"/>
          </w:tcPr>
          <w:p w14:paraId="273E8268" w14:textId="77777777" w:rsidR="000E179C" w:rsidRPr="000D729C" w:rsidRDefault="000E179C" w:rsidP="00EE462B">
            <w:pPr>
              <w:pStyle w:val="BodyText"/>
              <w:spacing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Vânzarea gazelor naturale comprimate pentru vehicule la staţiile de alimentare</w:t>
            </w:r>
          </w:p>
        </w:tc>
        <w:tc>
          <w:tcPr>
            <w:tcW w:w="1559" w:type="dxa"/>
            <w:vAlign w:val="center"/>
          </w:tcPr>
          <w:p w14:paraId="241DA055"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5</w:t>
            </w:r>
          </w:p>
        </w:tc>
        <w:tc>
          <w:tcPr>
            <w:tcW w:w="1780" w:type="dxa"/>
            <w:vAlign w:val="center"/>
          </w:tcPr>
          <w:p w14:paraId="1F9C9A79" w14:textId="77777777" w:rsidR="000E179C" w:rsidRPr="000D729C" w:rsidRDefault="000E179C" w:rsidP="00EE462B">
            <w:pPr>
              <w:pStyle w:val="BodyText"/>
              <w:spacing w:line="276" w:lineRule="auto"/>
              <w:jc w:val="center"/>
              <w:rPr>
                <w:rFonts w:ascii="Times New Roman" w:hAnsi="Times New Roman" w:cs="Times New Roman"/>
                <w:sz w:val="24"/>
                <w:szCs w:val="24"/>
                <w:lang w:val="ro-RO"/>
              </w:rPr>
            </w:pPr>
            <w:r w:rsidRPr="000D729C">
              <w:rPr>
                <w:rFonts w:ascii="Times New Roman" w:hAnsi="Times New Roman" w:cs="Times New Roman"/>
                <w:sz w:val="24"/>
                <w:szCs w:val="24"/>
                <w:lang w:val="ro-RO"/>
              </w:rPr>
              <w:t>5</w:t>
            </w:r>
          </w:p>
        </w:tc>
      </w:tr>
      <w:tr w:rsidR="000E179C" w:rsidRPr="000D729C" w14:paraId="0217B5A0" w14:textId="77777777" w:rsidTr="00251A69">
        <w:tc>
          <w:tcPr>
            <w:tcW w:w="6663" w:type="dxa"/>
            <w:gridSpan w:val="2"/>
            <w:vAlign w:val="center"/>
          </w:tcPr>
          <w:p w14:paraId="605BEA90" w14:textId="77777777" w:rsidR="000E179C" w:rsidRPr="000D729C" w:rsidRDefault="000E179C" w:rsidP="00251A69">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Total</w:t>
            </w:r>
          </w:p>
        </w:tc>
        <w:tc>
          <w:tcPr>
            <w:tcW w:w="1559" w:type="dxa"/>
          </w:tcPr>
          <w:p w14:paraId="414270C0"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45</w:t>
            </w:r>
          </w:p>
        </w:tc>
        <w:tc>
          <w:tcPr>
            <w:tcW w:w="1780" w:type="dxa"/>
          </w:tcPr>
          <w:p w14:paraId="2CEC58CF" w14:textId="77777777" w:rsidR="000E179C" w:rsidRPr="000D729C" w:rsidRDefault="000E179C" w:rsidP="00EE462B">
            <w:pPr>
              <w:pStyle w:val="BodyText"/>
              <w:spacing w:line="276" w:lineRule="auto"/>
              <w:jc w:val="center"/>
              <w:rPr>
                <w:rFonts w:ascii="Times New Roman" w:hAnsi="Times New Roman" w:cs="Times New Roman"/>
                <w:b/>
                <w:bCs/>
                <w:sz w:val="24"/>
                <w:szCs w:val="24"/>
                <w:lang w:val="ro-RO"/>
              </w:rPr>
            </w:pPr>
            <w:r w:rsidRPr="000D729C">
              <w:rPr>
                <w:rFonts w:ascii="Times New Roman" w:hAnsi="Times New Roman" w:cs="Times New Roman"/>
                <w:b/>
                <w:bCs/>
                <w:sz w:val="24"/>
                <w:szCs w:val="24"/>
                <w:lang w:val="ro-RO"/>
              </w:rPr>
              <w:t>55</w:t>
            </w:r>
          </w:p>
        </w:tc>
      </w:tr>
    </w:tbl>
    <w:p w14:paraId="629F65FB" w14:textId="77777777" w:rsidR="000E179C" w:rsidRPr="000D729C" w:rsidRDefault="000E179C" w:rsidP="000E179C">
      <w:pPr>
        <w:pStyle w:val="BodyText"/>
        <w:spacing w:line="276" w:lineRule="auto"/>
        <w:ind w:firstLine="720"/>
        <w:jc w:val="both"/>
        <w:rPr>
          <w:rFonts w:ascii="Times New Roman" w:hAnsi="Times New Roman" w:cs="Times New Roman"/>
          <w:sz w:val="24"/>
          <w:szCs w:val="24"/>
        </w:rPr>
      </w:pPr>
    </w:p>
    <w:p w14:paraId="18184A7F" w14:textId="4F56B608" w:rsidR="000E179C" w:rsidRPr="000D729C" w:rsidRDefault="000E179C" w:rsidP="00537693">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Prin Hotărârea ANRE nr.</w:t>
      </w:r>
      <w:r w:rsidR="001B2257" w:rsidRPr="000D729C">
        <w:rPr>
          <w:rFonts w:ascii="Times New Roman" w:hAnsi="Times New Roman" w:cs="Times New Roman"/>
          <w:sz w:val="24"/>
          <w:szCs w:val="24"/>
        </w:rPr>
        <w:t xml:space="preserve"> </w:t>
      </w:r>
      <w:r w:rsidRPr="000D729C">
        <w:rPr>
          <w:rFonts w:ascii="Times New Roman" w:hAnsi="Times New Roman" w:cs="Times New Roman"/>
          <w:sz w:val="24"/>
          <w:szCs w:val="24"/>
        </w:rPr>
        <w:t>137</w:t>
      </w:r>
      <w:r w:rsidR="001B2257" w:rsidRPr="000D729C">
        <w:rPr>
          <w:rFonts w:ascii="Times New Roman" w:hAnsi="Times New Roman" w:cs="Times New Roman"/>
          <w:sz w:val="24"/>
          <w:szCs w:val="24"/>
        </w:rPr>
        <w:t>/</w:t>
      </w:r>
      <w:r w:rsidRPr="000D729C">
        <w:rPr>
          <w:rFonts w:ascii="Times New Roman" w:hAnsi="Times New Roman" w:cs="Times New Roman"/>
          <w:sz w:val="24"/>
          <w:szCs w:val="24"/>
        </w:rPr>
        <w:t xml:space="preserve">2025 a fost aprobată platforma de tranzacționare a gazelor naturale operată de SRL </w:t>
      </w:r>
      <w:r w:rsidR="00B43ED8" w:rsidRPr="000D729C">
        <w:rPr>
          <w:rFonts w:ascii="Times New Roman" w:hAnsi="Times New Roman" w:cs="Times New Roman"/>
          <w:sz w:val="24"/>
          <w:szCs w:val="24"/>
        </w:rPr>
        <w:t>,,</w:t>
      </w:r>
      <w:r w:rsidRPr="000D729C">
        <w:rPr>
          <w:rFonts w:ascii="Times New Roman" w:hAnsi="Times New Roman" w:cs="Times New Roman"/>
          <w:sz w:val="24"/>
          <w:szCs w:val="24"/>
        </w:rPr>
        <w:t>Bursa Română de Mărfuri (Romanian Comodities Exchange) Est” pentru o perioad</w:t>
      </w:r>
      <w:r w:rsidR="00D464BC" w:rsidRPr="000D729C">
        <w:rPr>
          <w:rFonts w:ascii="Times New Roman" w:hAnsi="Times New Roman" w:cs="Times New Roman"/>
          <w:sz w:val="24"/>
          <w:szCs w:val="24"/>
        </w:rPr>
        <w:t>ă</w:t>
      </w:r>
      <w:r w:rsidRPr="000D729C">
        <w:rPr>
          <w:rFonts w:ascii="Times New Roman" w:hAnsi="Times New Roman" w:cs="Times New Roman"/>
          <w:sz w:val="24"/>
          <w:szCs w:val="24"/>
        </w:rPr>
        <w:t xml:space="preserve"> de 10 ani.</w:t>
      </w:r>
    </w:p>
    <w:bookmarkEnd w:id="4"/>
    <w:p w14:paraId="76EE9B5D" w14:textId="11A72AE2" w:rsidR="000E179C" w:rsidRPr="000D729C" w:rsidRDefault="000E179C" w:rsidP="00537693">
      <w:pPr>
        <w:tabs>
          <w:tab w:val="left" w:pos="567"/>
        </w:tabs>
        <w:spacing w:line="276" w:lineRule="auto"/>
        <w:jc w:val="both"/>
        <w:rPr>
          <w:rFonts w:ascii="Times New Roman" w:hAnsi="Times New Roman" w:cs="Times New Roman"/>
          <w:sz w:val="24"/>
          <w:szCs w:val="24"/>
        </w:rPr>
      </w:pPr>
      <w:r w:rsidRPr="000D729C">
        <w:rPr>
          <w:rFonts w:ascii="Times New Roman" w:hAnsi="Times New Roman" w:cs="Times New Roman"/>
          <w:sz w:val="24"/>
          <w:szCs w:val="24"/>
        </w:rPr>
        <w:tab/>
      </w:r>
      <w:r w:rsidR="002D3AB0" w:rsidRPr="000D729C">
        <w:rPr>
          <w:rFonts w:ascii="Times New Roman" w:hAnsi="Times New Roman" w:cs="Times New Roman"/>
          <w:sz w:val="24"/>
          <w:szCs w:val="24"/>
        </w:rPr>
        <w:t>În perioada 01.01.2025 - 30.09.2025, pe piața cu amănuntul a gazelor naturale, furnizarea gazelor naturale către consumatorii finali a fost asigurată de 13 furnizori</w:t>
      </w:r>
      <w:r w:rsidR="00691FDA" w:rsidRPr="000D729C">
        <w:rPr>
          <w:rFonts w:ascii="Times New Roman" w:hAnsi="Times New Roman" w:cs="Times New Roman"/>
          <w:sz w:val="24"/>
          <w:szCs w:val="24"/>
        </w:rPr>
        <w:t xml:space="preserve"> activi</w:t>
      </w:r>
      <w:r w:rsidR="002D3AB0" w:rsidRPr="000D729C">
        <w:rPr>
          <w:rFonts w:ascii="Times New Roman" w:hAnsi="Times New Roman" w:cs="Times New Roman"/>
          <w:sz w:val="24"/>
          <w:szCs w:val="24"/>
        </w:rPr>
        <w:t>.</w:t>
      </w:r>
      <w:r w:rsidR="00185A5E" w:rsidRPr="000D729C">
        <w:rPr>
          <w:rFonts w:ascii="Times New Roman" w:hAnsi="Times New Roman" w:cs="Times New Roman"/>
          <w:sz w:val="24"/>
          <w:szCs w:val="24"/>
        </w:rPr>
        <w:t xml:space="preserve"> </w:t>
      </w:r>
      <w:r w:rsidR="002D3AB0" w:rsidRPr="000D729C">
        <w:rPr>
          <w:rFonts w:ascii="Times New Roman" w:hAnsi="Times New Roman" w:cs="Times New Roman"/>
          <w:sz w:val="24"/>
          <w:szCs w:val="24"/>
        </w:rPr>
        <w:t xml:space="preserve">Respectiv, cu o cotă de piață de 89,09 %, au activat furnizorii de gaze naturale cărora le-a fost impusă obligația de serviciu public în corespundere cu prevederile art. </w:t>
      </w:r>
      <w:r w:rsidR="00185A5E" w:rsidRPr="000D729C">
        <w:rPr>
          <w:rFonts w:ascii="Times New Roman" w:hAnsi="Times New Roman" w:cs="Times New Roman"/>
          <w:sz w:val="24"/>
          <w:szCs w:val="24"/>
        </w:rPr>
        <w:t xml:space="preserve">88 și </w:t>
      </w:r>
      <w:r w:rsidR="002D3AB0" w:rsidRPr="000D729C">
        <w:rPr>
          <w:rFonts w:ascii="Times New Roman" w:hAnsi="Times New Roman" w:cs="Times New Roman"/>
          <w:sz w:val="24"/>
          <w:szCs w:val="24"/>
        </w:rPr>
        <w:t>89 din Legea nr. 108/2016; 3,62 % - S.R.L. „Transautogaz”; 2,42 % - S.R.L. „National Power Corp”; 1,91 % - S.R.L. „Natural Gaz D.C.”; 1,22 % - S.R.L. „Navitas Energy”; 1,04 % - S.R.L. SD „Energy Engineering Group”, iar cota de piață a celorlalți furnizori de gaze naturale a constituit cumulativ – 0,71 %.</w:t>
      </w:r>
    </w:p>
    <w:p w14:paraId="5EDFF369" w14:textId="77777777" w:rsidR="000E179C" w:rsidRPr="000D729C" w:rsidRDefault="000E179C" w:rsidP="00537693">
      <w:pPr>
        <w:tabs>
          <w:tab w:val="left" w:pos="567"/>
        </w:tabs>
        <w:spacing w:line="276" w:lineRule="auto"/>
        <w:jc w:val="both"/>
        <w:rPr>
          <w:rFonts w:ascii="Times New Roman" w:hAnsi="Times New Roman" w:cs="Times New Roman"/>
          <w:sz w:val="24"/>
          <w:szCs w:val="24"/>
        </w:rPr>
      </w:pPr>
      <w:r w:rsidRPr="000D729C">
        <w:rPr>
          <w:rFonts w:ascii="Times New Roman" w:hAnsi="Times New Roman" w:cs="Times New Roman"/>
          <w:sz w:val="24"/>
          <w:szCs w:val="24"/>
        </w:rPr>
        <w:tab/>
        <w:t>Această distribuție evidențiază o dominare clară a unui singur furnizor pe piață, ceea ce poate influența echilibrul și concurența în sectorul gazelor naturale. În acest context, implementarea măsurilor provizorii de echilibrare devine esențială pentru asigurarea unui mediu concurențial sănătos și pentru protejarea intereselor consumatorilor finali.</w:t>
      </w:r>
    </w:p>
    <w:p w14:paraId="577D0BD3" w14:textId="50768B92" w:rsidR="002D3AB0" w:rsidRPr="000D729C" w:rsidRDefault="002D3AB0" w:rsidP="00537693">
      <w:pPr>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Concentrarea unei </w:t>
      </w:r>
      <w:r w:rsidR="002F779F" w:rsidRPr="000D729C">
        <w:rPr>
          <w:rFonts w:ascii="Times New Roman" w:hAnsi="Times New Roman" w:cs="Times New Roman"/>
          <w:sz w:val="24"/>
          <w:szCs w:val="24"/>
        </w:rPr>
        <w:t>piețe</w:t>
      </w:r>
      <w:r w:rsidRPr="000D729C">
        <w:rPr>
          <w:rFonts w:ascii="Times New Roman" w:hAnsi="Times New Roman" w:cs="Times New Roman"/>
          <w:sz w:val="24"/>
          <w:szCs w:val="24"/>
        </w:rPr>
        <w:t xml:space="preserve"> este determinată de numărul de participanți existenți pe piaţă şi de cotele de </w:t>
      </w:r>
      <w:r w:rsidR="002F779F" w:rsidRPr="000D729C">
        <w:rPr>
          <w:rFonts w:ascii="Times New Roman" w:hAnsi="Times New Roman" w:cs="Times New Roman"/>
          <w:sz w:val="24"/>
          <w:szCs w:val="24"/>
        </w:rPr>
        <w:t>piață</w:t>
      </w:r>
      <w:r w:rsidRPr="000D729C">
        <w:rPr>
          <w:rFonts w:ascii="Times New Roman" w:hAnsi="Times New Roman" w:cs="Times New Roman"/>
          <w:sz w:val="24"/>
          <w:szCs w:val="24"/>
        </w:rPr>
        <w:t xml:space="preserve"> ale acestora. Respectiv, în sectorul gazelor naturale, indic</w:t>
      </w:r>
      <w:r w:rsidR="001B2257" w:rsidRPr="000D729C">
        <w:rPr>
          <w:rFonts w:ascii="Times New Roman" w:hAnsi="Times New Roman" w:cs="Times New Roman"/>
          <w:sz w:val="24"/>
          <w:szCs w:val="24"/>
        </w:rPr>
        <w:t>e</w:t>
      </w:r>
      <w:r w:rsidRPr="000D729C">
        <w:rPr>
          <w:rFonts w:ascii="Times New Roman" w:hAnsi="Times New Roman" w:cs="Times New Roman"/>
          <w:sz w:val="24"/>
          <w:szCs w:val="24"/>
        </w:rPr>
        <w:t>le de concentrare măsoară cât de mult este dominată piața în funcție de furnizorii de gaze naturale activi. Indic</w:t>
      </w:r>
      <w:r w:rsidR="001B2257" w:rsidRPr="000D729C">
        <w:rPr>
          <w:rFonts w:ascii="Times New Roman" w:hAnsi="Times New Roman" w:cs="Times New Roman"/>
          <w:sz w:val="24"/>
          <w:szCs w:val="24"/>
        </w:rPr>
        <w:t>e</w:t>
      </w:r>
      <w:r w:rsidRPr="000D729C">
        <w:rPr>
          <w:rFonts w:ascii="Times New Roman" w:hAnsi="Times New Roman" w:cs="Times New Roman"/>
          <w:sz w:val="24"/>
          <w:szCs w:val="24"/>
        </w:rPr>
        <w:t>le de concentrare a pieț</w:t>
      </w:r>
      <w:r w:rsidR="001B2257" w:rsidRPr="000D729C">
        <w:rPr>
          <w:rFonts w:ascii="Times New Roman" w:hAnsi="Times New Roman" w:cs="Times New Roman"/>
          <w:sz w:val="24"/>
          <w:szCs w:val="24"/>
        </w:rPr>
        <w:t>e</w:t>
      </w:r>
      <w:r w:rsidRPr="000D729C">
        <w:rPr>
          <w:rFonts w:ascii="Times New Roman" w:hAnsi="Times New Roman" w:cs="Times New Roman"/>
          <w:sz w:val="24"/>
          <w:szCs w:val="24"/>
        </w:rPr>
        <w:t xml:space="preserve">i cu amănuntul (HHI) pentru primele 9 luni ale 2025 constituie 7 955 sau cu 362 unități mai mare comparativ cu aceiași perioadă a anului precedent. În trimestrul I 2025, HHI a indicat o valoare de 8 896, semestrul I 2025 – 8399, ceea ce reprezintă un nivel extrem de ridicat al concentrării pieței. În schimb, nivelul HHI din trimestrul III a scăzut ușor, generând o valoare a </w:t>
      </w:r>
      <w:r w:rsidRPr="000D729C">
        <w:rPr>
          <w:rFonts w:ascii="Times New Roman" w:hAnsi="Times New Roman" w:cs="Times New Roman"/>
          <w:sz w:val="24"/>
          <w:szCs w:val="24"/>
        </w:rPr>
        <w:lastRenderedPageBreak/>
        <w:t>acestuia pentru perioada ianuarie - septembrie 2025 de 7 955. Acest fapt se datorează migrării consumatorilor de la furnizorul cu obligația de serviciu public la alți furnizori de gaze naturale din piața nereglementată.</w:t>
      </w:r>
      <w:r w:rsidRPr="000D729C">
        <w:rPr>
          <w:rStyle w:val="FootnoteReference"/>
          <w:rFonts w:ascii="Times New Roman" w:hAnsi="Times New Roman" w:cs="Times New Roman"/>
          <w:sz w:val="24"/>
          <w:szCs w:val="24"/>
        </w:rPr>
        <w:footnoteReference w:id="2"/>
      </w:r>
    </w:p>
    <w:p w14:paraId="0B9E2B86" w14:textId="0F7A9519" w:rsidR="00EB6EF8" w:rsidRPr="000D729C" w:rsidRDefault="000E179C" w:rsidP="007D7A64">
      <w:pPr>
        <w:tabs>
          <w:tab w:val="left" w:pos="993"/>
        </w:tabs>
        <w:spacing w:after="60" w:line="276" w:lineRule="auto"/>
        <w:ind w:firstLine="567"/>
        <w:jc w:val="both"/>
        <w:rPr>
          <w:rFonts w:ascii="Times New Roman" w:hAnsi="Times New Roman" w:cs="Times New Roman"/>
          <w:snapToGrid w:val="0"/>
          <w:sz w:val="24"/>
          <w:szCs w:val="24"/>
        </w:rPr>
      </w:pPr>
      <w:r w:rsidRPr="000D729C">
        <w:rPr>
          <w:rFonts w:ascii="Times New Roman" w:hAnsi="Times New Roman" w:cs="Times New Roman"/>
          <w:snapToGrid w:val="0"/>
          <w:sz w:val="24"/>
          <w:szCs w:val="24"/>
        </w:rPr>
        <w:t xml:space="preserve">La data de 04.08.2025, </w:t>
      </w:r>
      <w:r w:rsidR="007D7A64" w:rsidRPr="000D729C">
        <w:rPr>
          <w:rFonts w:ascii="Times New Roman" w:hAnsi="Times New Roman" w:cs="Times New Roman"/>
          <w:snapToGrid w:val="0"/>
          <w:sz w:val="24"/>
          <w:szCs w:val="24"/>
        </w:rPr>
        <w:t xml:space="preserve">prin </w:t>
      </w:r>
      <w:r w:rsidR="00D464BC" w:rsidRPr="000D729C">
        <w:rPr>
          <w:rFonts w:ascii="Times New Roman" w:hAnsi="Times New Roman" w:cs="Times New Roman"/>
          <w:snapToGrid w:val="0"/>
          <w:sz w:val="24"/>
          <w:szCs w:val="24"/>
        </w:rPr>
        <w:t>H</w:t>
      </w:r>
      <w:r w:rsidRPr="000D729C">
        <w:rPr>
          <w:rFonts w:ascii="Times New Roman" w:hAnsi="Times New Roman" w:cs="Times New Roman"/>
          <w:snapToGrid w:val="0"/>
          <w:sz w:val="24"/>
          <w:szCs w:val="24"/>
        </w:rPr>
        <w:t xml:space="preserve">otărârea </w:t>
      </w:r>
      <w:r w:rsidR="007D7A64" w:rsidRPr="000D729C">
        <w:rPr>
          <w:rFonts w:ascii="Times New Roman" w:hAnsi="Times New Roman" w:cs="Times New Roman"/>
          <w:snapToGrid w:val="0"/>
          <w:sz w:val="24"/>
          <w:szCs w:val="24"/>
        </w:rPr>
        <w:t xml:space="preserve">ANRE </w:t>
      </w:r>
      <w:r w:rsidRPr="000D729C">
        <w:rPr>
          <w:rFonts w:ascii="Times New Roman" w:hAnsi="Times New Roman" w:cs="Times New Roman"/>
          <w:snapToGrid w:val="0"/>
          <w:sz w:val="24"/>
          <w:szCs w:val="24"/>
        </w:rPr>
        <w:t>nr.</w:t>
      </w:r>
      <w:r w:rsidR="001B2257" w:rsidRPr="000D729C">
        <w:rPr>
          <w:rFonts w:ascii="Times New Roman" w:hAnsi="Times New Roman" w:cs="Times New Roman"/>
          <w:snapToGrid w:val="0"/>
          <w:sz w:val="24"/>
          <w:szCs w:val="24"/>
        </w:rPr>
        <w:t xml:space="preserve"> </w:t>
      </w:r>
      <w:r w:rsidRPr="000D729C">
        <w:rPr>
          <w:rFonts w:ascii="Times New Roman" w:hAnsi="Times New Roman" w:cs="Times New Roman"/>
          <w:snapToGrid w:val="0"/>
          <w:sz w:val="24"/>
          <w:szCs w:val="24"/>
        </w:rPr>
        <w:t>479/2025</w:t>
      </w:r>
      <w:r w:rsidR="007D7A64" w:rsidRPr="000D729C">
        <w:rPr>
          <w:rFonts w:ascii="Times New Roman" w:hAnsi="Times New Roman" w:cs="Times New Roman"/>
          <w:snapToGrid w:val="0"/>
          <w:sz w:val="24"/>
          <w:szCs w:val="24"/>
        </w:rPr>
        <w:t xml:space="preserve"> a fost</w:t>
      </w:r>
      <w:r w:rsidRPr="000D729C">
        <w:rPr>
          <w:rFonts w:ascii="Times New Roman" w:hAnsi="Times New Roman" w:cs="Times New Roman"/>
          <w:snapToGrid w:val="0"/>
          <w:sz w:val="24"/>
          <w:szCs w:val="24"/>
        </w:rPr>
        <w:t xml:space="preserve"> retra</w:t>
      </w:r>
      <w:r w:rsidR="007D7A64" w:rsidRPr="000D729C">
        <w:rPr>
          <w:rFonts w:ascii="Times New Roman" w:hAnsi="Times New Roman" w:cs="Times New Roman"/>
          <w:snapToGrid w:val="0"/>
          <w:sz w:val="24"/>
          <w:szCs w:val="24"/>
        </w:rPr>
        <w:t>să</w:t>
      </w:r>
      <w:r w:rsidRPr="000D729C">
        <w:rPr>
          <w:rFonts w:ascii="Times New Roman" w:hAnsi="Times New Roman" w:cs="Times New Roman"/>
          <w:snapToGrid w:val="0"/>
          <w:sz w:val="24"/>
          <w:szCs w:val="24"/>
        </w:rPr>
        <w:t xml:space="preserve"> </w:t>
      </w:r>
      <w:r w:rsidR="007D7A64" w:rsidRPr="000D729C">
        <w:rPr>
          <w:rFonts w:ascii="Times New Roman" w:hAnsi="Times New Roman" w:cs="Times New Roman"/>
          <w:snapToGrid w:val="0"/>
          <w:sz w:val="24"/>
          <w:szCs w:val="24"/>
        </w:rPr>
        <w:t xml:space="preserve">licența pentru activitatea de furnizare a gazelor naturale a </w:t>
      </w:r>
      <w:r w:rsidRPr="000D729C">
        <w:rPr>
          <w:rFonts w:ascii="Times New Roman" w:hAnsi="Times New Roman" w:cs="Times New Roman"/>
          <w:snapToGrid w:val="0"/>
          <w:sz w:val="24"/>
          <w:szCs w:val="24"/>
        </w:rPr>
        <w:t>S.A. „Moldovagaz”. De asemenea, a</w:t>
      </w:r>
      <w:r w:rsidR="007D7A64" w:rsidRPr="000D729C">
        <w:rPr>
          <w:rFonts w:ascii="Times New Roman" w:hAnsi="Times New Roman" w:cs="Times New Roman"/>
          <w:snapToGrid w:val="0"/>
          <w:sz w:val="24"/>
          <w:szCs w:val="24"/>
        </w:rPr>
        <w:t>u</w:t>
      </w:r>
      <w:r w:rsidRPr="000D729C">
        <w:rPr>
          <w:rFonts w:ascii="Times New Roman" w:hAnsi="Times New Roman" w:cs="Times New Roman"/>
          <w:snapToGrid w:val="0"/>
          <w:sz w:val="24"/>
          <w:szCs w:val="24"/>
        </w:rPr>
        <w:t xml:space="preserve"> </w:t>
      </w:r>
      <w:r w:rsidR="007D7A64" w:rsidRPr="000D729C">
        <w:rPr>
          <w:rFonts w:ascii="Times New Roman" w:hAnsi="Times New Roman" w:cs="Times New Roman"/>
          <w:snapToGrid w:val="0"/>
          <w:sz w:val="24"/>
          <w:szCs w:val="24"/>
        </w:rPr>
        <w:t xml:space="preserve">fost </w:t>
      </w:r>
      <w:r w:rsidRPr="000D729C">
        <w:rPr>
          <w:rFonts w:ascii="Times New Roman" w:hAnsi="Times New Roman" w:cs="Times New Roman"/>
          <w:snapToGrid w:val="0"/>
          <w:sz w:val="24"/>
          <w:szCs w:val="24"/>
        </w:rPr>
        <w:t>revoca</w:t>
      </w:r>
      <w:r w:rsidR="007D7A64" w:rsidRPr="000D729C">
        <w:rPr>
          <w:rFonts w:ascii="Times New Roman" w:hAnsi="Times New Roman" w:cs="Times New Roman"/>
          <w:snapToGrid w:val="0"/>
          <w:sz w:val="24"/>
          <w:szCs w:val="24"/>
        </w:rPr>
        <w:t>te</w:t>
      </w:r>
      <w:r w:rsidRPr="000D729C">
        <w:rPr>
          <w:rFonts w:ascii="Times New Roman" w:hAnsi="Times New Roman" w:cs="Times New Roman"/>
          <w:snapToGrid w:val="0"/>
          <w:sz w:val="24"/>
          <w:szCs w:val="24"/>
        </w:rPr>
        <w:t xml:space="preserve"> obligațiil</w:t>
      </w:r>
      <w:r w:rsidR="007D7A64" w:rsidRPr="000D729C">
        <w:rPr>
          <w:rFonts w:ascii="Times New Roman" w:hAnsi="Times New Roman" w:cs="Times New Roman"/>
          <w:snapToGrid w:val="0"/>
          <w:sz w:val="24"/>
          <w:szCs w:val="24"/>
        </w:rPr>
        <w:t>e</w:t>
      </w:r>
      <w:r w:rsidRPr="000D729C">
        <w:rPr>
          <w:rFonts w:ascii="Times New Roman" w:hAnsi="Times New Roman" w:cs="Times New Roman"/>
          <w:snapToGrid w:val="0"/>
          <w:sz w:val="24"/>
          <w:szCs w:val="24"/>
        </w:rPr>
        <w:t xml:space="preserve"> de serviciu </w:t>
      </w:r>
      <w:r w:rsidR="001B2257" w:rsidRPr="000D729C">
        <w:rPr>
          <w:rFonts w:ascii="Times New Roman" w:hAnsi="Times New Roman" w:cs="Times New Roman"/>
          <w:snapToGrid w:val="0"/>
          <w:sz w:val="24"/>
          <w:szCs w:val="24"/>
        </w:rPr>
        <w:t>public impuse S.A. „Moldovagaz”</w:t>
      </w:r>
      <w:r w:rsidRPr="000D729C">
        <w:rPr>
          <w:rFonts w:ascii="Times New Roman" w:hAnsi="Times New Roman" w:cs="Times New Roman"/>
          <w:snapToGrid w:val="0"/>
          <w:sz w:val="24"/>
          <w:szCs w:val="24"/>
        </w:rPr>
        <w:t>.</w:t>
      </w:r>
      <w:r w:rsidR="007D7A64" w:rsidRPr="000D729C">
        <w:rPr>
          <w:rFonts w:ascii="Times New Roman" w:hAnsi="Times New Roman" w:cs="Times New Roman"/>
          <w:snapToGrid w:val="0"/>
          <w:sz w:val="24"/>
          <w:szCs w:val="24"/>
        </w:rPr>
        <w:t xml:space="preserve"> </w:t>
      </w:r>
      <w:r w:rsidR="00EB6EF8" w:rsidRPr="000D729C">
        <w:rPr>
          <w:rFonts w:ascii="Times New Roman" w:hAnsi="Times New Roman" w:cs="Times New Roman"/>
          <w:snapToGrid w:val="0"/>
          <w:sz w:val="24"/>
          <w:szCs w:val="24"/>
        </w:rPr>
        <w:t xml:space="preserve">ANRE a impus </w:t>
      </w:r>
      <w:r w:rsidR="001B2257" w:rsidRPr="000D729C">
        <w:rPr>
          <w:rFonts w:ascii="Times New Roman" w:hAnsi="Times New Roman" w:cs="Times New Roman"/>
          <w:snapToGrid w:val="0"/>
          <w:sz w:val="24"/>
          <w:szCs w:val="24"/>
        </w:rPr>
        <w:t>S.A. „Energocom” obligați</w:t>
      </w:r>
      <w:r w:rsidR="00EB6EF8" w:rsidRPr="000D729C">
        <w:rPr>
          <w:rFonts w:ascii="Times New Roman" w:hAnsi="Times New Roman" w:cs="Times New Roman"/>
          <w:snapToGrid w:val="0"/>
          <w:sz w:val="24"/>
          <w:szCs w:val="24"/>
        </w:rPr>
        <w:t xml:space="preserve">ile de serviciu public stabilite la art. 89-90 din Legea nr. 108/2016. </w:t>
      </w:r>
      <w:r w:rsidRPr="000D729C">
        <w:rPr>
          <w:rFonts w:ascii="Times New Roman" w:hAnsi="Times New Roman" w:cs="Times New Roman"/>
          <w:snapToGrid w:val="0"/>
          <w:sz w:val="24"/>
          <w:szCs w:val="24"/>
        </w:rPr>
        <w:t>Începând cu 01.09.2025, S.A. „Energocom” asigură continuitatea furnizării gazelor naturale către toate categoriile de consumatori finali la parametrii de calitate stabiliți de reglementările în vigoare.</w:t>
      </w:r>
      <w:r w:rsidR="00EB6EF8" w:rsidRPr="000D729C">
        <w:rPr>
          <w:rFonts w:ascii="Times New Roman" w:hAnsi="Times New Roman" w:cs="Times New Roman"/>
          <w:snapToGrid w:val="0"/>
          <w:sz w:val="24"/>
          <w:szCs w:val="24"/>
        </w:rPr>
        <w:t xml:space="preserve"> </w:t>
      </w:r>
    </w:p>
    <w:p w14:paraId="2ACE7D93" w14:textId="22A4CCFA" w:rsidR="000E179C" w:rsidRPr="000D729C" w:rsidRDefault="000E179C" w:rsidP="00537693">
      <w:pPr>
        <w:tabs>
          <w:tab w:val="left" w:pos="993"/>
        </w:tabs>
        <w:spacing w:after="60" w:line="276" w:lineRule="auto"/>
        <w:ind w:firstLine="567"/>
        <w:jc w:val="both"/>
        <w:rPr>
          <w:rFonts w:ascii="Times New Roman" w:hAnsi="Times New Roman" w:cs="Times New Roman"/>
          <w:snapToGrid w:val="0"/>
          <w:sz w:val="24"/>
          <w:szCs w:val="24"/>
        </w:rPr>
      </w:pPr>
      <w:r w:rsidRPr="000D729C">
        <w:rPr>
          <w:rFonts w:ascii="Times New Roman" w:hAnsi="Times New Roman" w:cs="Times New Roman"/>
          <w:snapToGrid w:val="0"/>
          <w:sz w:val="24"/>
          <w:szCs w:val="24"/>
        </w:rPr>
        <w:t>Prin Hotărârea ANRE nr.</w:t>
      </w:r>
      <w:r w:rsidR="00CC43E9" w:rsidRPr="000D729C">
        <w:rPr>
          <w:rFonts w:ascii="Times New Roman" w:hAnsi="Times New Roman" w:cs="Times New Roman"/>
          <w:snapToGrid w:val="0"/>
          <w:sz w:val="24"/>
          <w:szCs w:val="24"/>
        </w:rPr>
        <w:t xml:space="preserve"> </w:t>
      </w:r>
      <w:r w:rsidR="00EB6EF8" w:rsidRPr="000D729C">
        <w:rPr>
          <w:rFonts w:ascii="Times New Roman" w:hAnsi="Times New Roman" w:cs="Times New Roman"/>
          <w:snapToGrid w:val="0"/>
          <w:sz w:val="24"/>
          <w:szCs w:val="24"/>
        </w:rPr>
        <w:t>490/</w:t>
      </w:r>
      <w:r w:rsidRPr="000D729C">
        <w:rPr>
          <w:rFonts w:ascii="Times New Roman" w:hAnsi="Times New Roman" w:cs="Times New Roman"/>
          <w:snapToGrid w:val="0"/>
          <w:sz w:val="24"/>
          <w:szCs w:val="24"/>
        </w:rPr>
        <w:t xml:space="preserve">2025, S.A. „Moldovagaz” a fost desemnată calitate de </w:t>
      </w:r>
      <w:r w:rsidR="00537693" w:rsidRPr="000D729C">
        <w:rPr>
          <w:rFonts w:ascii="Times New Roman" w:hAnsi="Times New Roman" w:cs="Times New Roman"/>
          <w:snapToGrid w:val="0"/>
          <w:sz w:val="24"/>
          <w:szCs w:val="24"/>
        </w:rPr>
        <w:t>e</w:t>
      </w:r>
      <w:r w:rsidRPr="000D729C">
        <w:rPr>
          <w:rFonts w:ascii="Times New Roman" w:hAnsi="Times New Roman" w:cs="Times New Roman"/>
          <w:snapToGrid w:val="0"/>
          <w:sz w:val="24"/>
          <w:szCs w:val="24"/>
        </w:rPr>
        <w:t>ntitate de aprovizionare cu gaze naturale a regiunii transnistrene, pentru perioada 01.09.2025 – 31.03.2026.</w:t>
      </w:r>
      <w:r w:rsidR="00EB6EF8" w:rsidRPr="000D729C">
        <w:rPr>
          <w:rFonts w:ascii="Times New Roman" w:hAnsi="Times New Roman" w:cs="Times New Roman"/>
          <w:snapToGrid w:val="0"/>
          <w:sz w:val="24"/>
          <w:szCs w:val="24"/>
        </w:rPr>
        <w:t xml:space="preserve"> </w:t>
      </w:r>
      <w:r w:rsidRPr="000D729C">
        <w:rPr>
          <w:rFonts w:ascii="Times New Roman" w:hAnsi="Times New Roman" w:cs="Times New Roman"/>
          <w:snapToGrid w:val="0"/>
          <w:sz w:val="24"/>
          <w:szCs w:val="24"/>
        </w:rPr>
        <w:t>Totodată</w:t>
      </w:r>
      <w:r w:rsidR="00761797" w:rsidRPr="000D729C">
        <w:rPr>
          <w:rFonts w:ascii="Times New Roman" w:hAnsi="Times New Roman" w:cs="Times New Roman"/>
          <w:snapToGrid w:val="0"/>
          <w:sz w:val="24"/>
          <w:szCs w:val="24"/>
        </w:rPr>
        <w:t>,</w:t>
      </w:r>
      <w:r w:rsidRPr="000D729C">
        <w:rPr>
          <w:rFonts w:ascii="Times New Roman" w:hAnsi="Times New Roman" w:cs="Times New Roman"/>
          <w:snapToGrid w:val="0"/>
          <w:sz w:val="24"/>
          <w:szCs w:val="24"/>
        </w:rPr>
        <w:t xml:space="preserve"> S.A. „Moldovagaz” are responsabilitatea financiară pentru dezechilibrele create în legătură cu aprovizionarea cu gaze naturale a regiunii transnistrene în care activează operatorii de sistem nelicențiați</w:t>
      </w:r>
      <w:r w:rsidR="00EB6EF8" w:rsidRPr="000D729C">
        <w:rPr>
          <w:rFonts w:ascii="Times New Roman" w:hAnsi="Times New Roman" w:cs="Times New Roman"/>
          <w:snapToGrid w:val="0"/>
          <w:sz w:val="24"/>
          <w:szCs w:val="24"/>
        </w:rPr>
        <w:t>,</w:t>
      </w:r>
      <w:r w:rsidRPr="000D729C">
        <w:rPr>
          <w:rFonts w:ascii="Times New Roman" w:hAnsi="Times New Roman" w:cs="Times New Roman"/>
          <w:snapToGrid w:val="0"/>
          <w:sz w:val="24"/>
          <w:szCs w:val="24"/>
        </w:rPr>
        <w:t xml:space="preserve"> în conformitate cu prevederile </w:t>
      </w:r>
      <w:r w:rsidR="00EB6EF8" w:rsidRPr="000D729C">
        <w:rPr>
          <w:rFonts w:ascii="Times New Roman" w:hAnsi="Times New Roman" w:cs="Times New Roman"/>
          <w:snapToGrid w:val="0"/>
          <w:sz w:val="24"/>
          <w:szCs w:val="24"/>
        </w:rPr>
        <w:t>c</w:t>
      </w:r>
      <w:r w:rsidRPr="000D729C">
        <w:rPr>
          <w:rFonts w:ascii="Times New Roman" w:hAnsi="Times New Roman" w:cs="Times New Roman"/>
          <w:snapToGrid w:val="0"/>
          <w:sz w:val="24"/>
          <w:szCs w:val="24"/>
        </w:rPr>
        <w:t>ontractului de echilibrare.</w:t>
      </w:r>
    </w:p>
    <w:p w14:paraId="6FCB9EAE" w14:textId="0039B685" w:rsidR="000E179C" w:rsidRPr="000D729C" w:rsidRDefault="000E179C" w:rsidP="00537693">
      <w:pPr>
        <w:tabs>
          <w:tab w:val="left" w:pos="993"/>
        </w:tabs>
        <w:spacing w:line="276" w:lineRule="auto"/>
        <w:ind w:firstLine="567"/>
        <w:jc w:val="both"/>
        <w:rPr>
          <w:rFonts w:ascii="Times New Roman" w:hAnsi="Times New Roman" w:cs="Times New Roman"/>
          <w:snapToGrid w:val="0"/>
          <w:sz w:val="24"/>
          <w:szCs w:val="24"/>
        </w:rPr>
      </w:pPr>
      <w:r w:rsidRPr="000D729C">
        <w:rPr>
          <w:rFonts w:ascii="Times New Roman" w:hAnsi="Times New Roman" w:cs="Times New Roman"/>
          <w:snapToGrid w:val="0"/>
          <w:sz w:val="24"/>
          <w:szCs w:val="24"/>
        </w:rPr>
        <w:t>Într-o perioadă foarte scurtă</w:t>
      </w:r>
      <w:r w:rsidR="00CC43E9" w:rsidRPr="000D729C">
        <w:rPr>
          <w:rFonts w:ascii="Times New Roman" w:hAnsi="Times New Roman" w:cs="Times New Roman"/>
          <w:snapToGrid w:val="0"/>
          <w:sz w:val="24"/>
          <w:szCs w:val="24"/>
        </w:rPr>
        <w:t>,</w:t>
      </w:r>
      <w:r w:rsidRPr="000D729C">
        <w:rPr>
          <w:rFonts w:ascii="Times New Roman" w:hAnsi="Times New Roman" w:cs="Times New Roman"/>
          <w:snapToGrid w:val="0"/>
          <w:sz w:val="24"/>
          <w:szCs w:val="24"/>
        </w:rPr>
        <w:t xml:space="preserve"> furnizorii din Republica Moldova au reușit să asigure diversificarea surselor de aprovizionare cu gaze naturale. Potrivit rapoartelor prezentate de furnizorii de gaze naturale la ANRE, </w:t>
      </w:r>
      <w:r w:rsidRPr="000D729C">
        <w:rPr>
          <w:rFonts w:ascii="Times New Roman" w:hAnsi="Times New Roman" w:cs="Times New Roman"/>
          <w:bCs/>
          <w:snapToGrid w:val="0"/>
          <w:sz w:val="24"/>
          <w:szCs w:val="24"/>
        </w:rPr>
        <w:t>în anul 2023 și până în prezent</w:t>
      </w:r>
      <w:r w:rsidRPr="000D729C">
        <w:rPr>
          <w:rFonts w:ascii="Times New Roman" w:hAnsi="Times New Roman" w:cs="Times New Roman"/>
          <w:snapToGrid w:val="0"/>
          <w:sz w:val="24"/>
          <w:szCs w:val="24"/>
        </w:rPr>
        <w:t>, s-au procurat gaze naturale pe piețele internaționale de gaze de la producători sau traderi/furnizori înregistrați în România, Grecia, Bulgaria, Olanda, Austria</w:t>
      </w:r>
      <w:r w:rsidR="00CC43E9" w:rsidRPr="000D729C">
        <w:rPr>
          <w:rFonts w:ascii="Times New Roman" w:hAnsi="Times New Roman" w:cs="Times New Roman"/>
          <w:snapToGrid w:val="0"/>
          <w:sz w:val="24"/>
          <w:szCs w:val="24"/>
        </w:rPr>
        <w:t xml:space="preserve"> și</w:t>
      </w:r>
      <w:r w:rsidRPr="000D729C">
        <w:rPr>
          <w:rFonts w:ascii="Times New Roman" w:hAnsi="Times New Roman" w:cs="Times New Roman"/>
          <w:snapToGrid w:val="0"/>
          <w:sz w:val="24"/>
          <w:szCs w:val="24"/>
        </w:rPr>
        <w:t xml:space="preserve"> Elveția.</w:t>
      </w:r>
    </w:p>
    <w:p w14:paraId="3F5B43A3" w14:textId="77777777" w:rsidR="000E179C" w:rsidRPr="000D729C" w:rsidRDefault="000E179C" w:rsidP="00B43ED8">
      <w:pPr>
        <w:pStyle w:val="BodyText"/>
        <w:tabs>
          <w:tab w:val="left" w:pos="851"/>
        </w:tabs>
        <w:spacing w:line="276" w:lineRule="auto"/>
        <w:ind w:firstLine="284"/>
        <w:jc w:val="both"/>
        <w:rPr>
          <w:rFonts w:ascii="Times New Roman" w:hAnsi="Times New Roman" w:cs="Times New Roman"/>
          <w:sz w:val="24"/>
          <w:szCs w:val="24"/>
        </w:rPr>
      </w:pPr>
    </w:p>
    <w:p w14:paraId="2B3EA15A" w14:textId="77777777" w:rsidR="000E179C" w:rsidRPr="000D729C" w:rsidRDefault="000E179C" w:rsidP="004A17FD">
      <w:pPr>
        <w:pStyle w:val="Heading2"/>
        <w:numPr>
          <w:ilvl w:val="1"/>
          <w:numId w:val="5"/>
        </w:numPr>
        <w:tabs>
          <w:tab w:val="left" w:pos="426"/>
          <w:tab w:val="left" w:pos="851"/>
          <w:tab w:val="left" w:pos="1134"/>
        </w:tabs>
        <w:spacing w:line="276" w:lineRule="auto"/>
        <w:ind w:left="0" w:firstLine="0"/>
        <w:rPr>
          <w:rFonts w:ascii="Times New Roman" w:hAnsi="Times New Roman" w:cs="Times New Roman"/>
          <w:sz w:val="24"/>
          <w:szCs w:val="24"/>
        </w:rPr>
      </w:pPr>
      <w:bookmarkStart w:id="5" w:name="_Toc167708298"/>
      <w:r w:rsidRPr="000D729C">
        <w:rPr>
          <w:rFonts w:ascii="Times New Roman" w:hAnsi="Times New Roman" w:cs="Times New Roman"/>
          <w:sz w:val="24"/>
          <w:szCs w:val="24"/>
        </w:rPr>
        <w:t>Numărul de tranzacții încheiate la punctul virtual de tranzacționare și numărul de tranzacții în general</w:t>
      </w:r>
      <w:bookmarkEnd w:id="5"/>
    </w:p>
    <w:p w14:paraId="1CC0CB12" w14:textId="68433B3A" w:rsidR="000E179C" w:rsidRPr="000D729C" w:rsidRDefault="000E179C" w:rsidP="00382EF3">
      <w:pPr>
        <w:tabs>
          <w:tab w:val="left" w:pos="851"/>
          <w:tab w:val="left" w:pos="1134"/>
        </w:tabs>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În partea ce ține de contractele cu utilizatorii de sistem,</w:t>
      </w:r>
      <w:r w:rsidR="000650E2" w:rsidRPr="000D729C">
        <w:rPr>
          <w:rFonts w:ascii="Times New Roman" w:hAnsi="Times New Roman" w:cs="Times New Roman"/>
          <w:sz w:val="24"/>
          <w:szCs w:val="24"/>
        </w:rPr>
        <w:t xml:space="preserve"> în cursul anului 2024</w:t>
      </w:r>
      <w:r w:rsidRPr="000D729C">
        <w:rPr>
          <w:rFonts w:ascii="Times New Roman" w:hAnsi="Times New Roman" w:cs="Times New Roman"/>
          <w:sz w:val="24"/>
          <w:szCs w:val="24"/>
        </w:rPr>
        <w:t xml:space="preserve"> „Vestmoldtransgaz” S.R.L. </w:t>
      </w:r>
      <w:r w:rsidR="000650E2" w:rsidRPr="000D729C">
        <w:rPr>
          <w:rFonts w:ascii="Times New Roman" w:hAnsi="Times New Roman" w:cs="Times New Roman"/>
          <w:sz w:val="24"/>
          <w:szCs w:val="24"/>
        </w:rPr>
        <w:t>a semnat</w:t>
      </w:r>
      <w:r w:rsidRPr="000D729C">
        <w:rPr>
          <w:rFonts w:ascii="Times New Roman" w:hAnsi="Times New Roman" w:cs="Times New Roman"/>
          <w:sz w:val="24"/>
          <w:szCs w:val="24"/>
        </w:rPr>
        <w:t xml:space="preserve"> </w:t>
      </w:r>
      <w:r w:rsidR="00AA63A9" w:rsidRPr="000D729C">
        <w:rPr>
          <w:rFonts w:ascii="Times New Roman" w:hAnsi="Times New Roman" w:cs="Times New Roman"/>
          <w:sz w:val="24"/>
          <w:szCs w:val="24"/>
        </w:rPr>
        <w:t xml:space="preserve">12 </w:t>
      </w:r>
      <w:r w:rsidRPr="000D729C">
        <w:rPr>
          <w:rFonts w:ascii="Times New Roman" w:hAnsi="Times New Roman" w:cs="Times New Roman"/>
          <w:sz w:val="24"/>
          <w:szCs w:val="24"/>
        </w:rPr>
        <w:t>contracte de echilibrare</w:t>
      </w:r>
      <w:r w:rsidR="000650E2" w:rsidRPr="000D729C">
        <w:rPr>
          <w:rFonts w:ascii="Times New Roman" w:hAnsi="Times New Roman" w:cs="Times New Roman"/>
          <w:sz w:val="24"/>
          <w:szCs w:val="24"/>
        </w:rPr>
        <w:t xml:space="preserve">, iar până la data curentă au fost încheiate </w:t>
      </w:r>
      <w:r w:rsidR="0083347C" w:rsidRPr="000D729C">
        <w:rPr>
          <w:rFonts w:ascii="Times New Roman" w:hAnsi="Times New Roman" w:cs="Times New Roman"/>
          <w:sz w:val="24"/>
          <w:szCs w:val="24"/>
        </w:rPr>
        <w:t>în total 36 contracte de echilibrare cu</w:t>
      </w:r>
      <w:r w:rsidRPr="000D729C">
        <w:rPr>
          <w:rFonts w:ascii="Times New Roman" w:hAnsi="Times New Roman" w:cs="Times New Roman"/>
          <w:sz w:val="24"/>
          <w:szCs w:val="24"/>
        </w:rPr>
        <w:t xml:space="preserve"> Părțile responsabile de echilibrare (PRE). </w:t>
      </w:r>
    </w:p>
    <w:p w14:paraId="2F1DE0BE" w14:textId="522383B0" w:rsidR="00EB6EF8" w:rsidRPr="000D729C" w:rsidRDefault="000E179C" w:rsidP="00382EF3">
      <w:pPr>
        <w:tabs>
          <w:tab w:val="left" w:pos="851"/>
          <w:tab w:val="left" w:pos="1134"/>
        </w:tabs>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Transferul de proprietate asupra gazelor naturale pe teritoriul Republicii Moldova are loc în Punctul Virtual de Tranzacționare (PVT). </w:t>
      </w:r>
      <w:r w:rsidR="00ED189F" w:rsidRPr="000D729C">
        <w:rPr>
          <w:rFonts w:ascii="Times New Roman" w:hAnsi="Times New Roman" w:cs="Times New Roman"/>
          <w:sz w:val="24"/>
          <w:szCs w:val="24"/>
        </w:rPr>
        <w:t xml:space="preserve">În baza contractelor de echilibrare, PRE au realizat transferul de proprietate asupra gazelor naturale prin transmiterea notificărilor comerciale către operatorul sistemului de transport. </w:t>
      </w:r>
      <w:r w:rsidRPr="000D729C">
        <w:rPr>
          <w:rFonts w:ascii="Times New Roman" w:hAnsi="Times New Roman" w:cs="Times New Roman"/>
          <w:sz w:val="24"/>
          <w:szCs w:val="24"/>
        </w:rPr>
        <w:t>Astfel, din luna octombrie 2024 până în luna septembrie 2025 au fost tranzacționa</w:t>
      </w:r>
      <w:r w:rsidR="00EB6EF8" w:rsidRPr="000D729C">
        <w:rPr>
          <w:rFonts w:ascii="Times New Roman" w:hAnsi="Times New Roman" w:cs="Times New Roman"/>
          <w:sz w:val="24"/>
          <w:szCs w:val="24"/>
        </w:rPr>
        <w:t xml:space="preserve">ți 9 </w:t>
      </w:r>
      <w:r w:rsidR="00191216" w:rsidRPr="000D729C">
        <w:rPr>
          <w:rFonts w:ascii="Times New Roman" w:hAnsi="Times New Roman" w:cs="Times New Roman"/>
          <w:sz w:val="24"/>
          <w:szCs w:val="24"/>
        </w:rPr>
        <w:t>098 941</w:t>
      </w:r>
      <w:r w:rsidR="00EB6EF8" w:rsidRPr="000D729C">
        <w:rPr>
          <w:rFonts w:ascii="Times New Roman" w:hAnsi="Times New Roman" w:cs="Times New Roman"/>
          <w:sz w:val="24"/>
          <w:szCs w:val="24"/>
        </w:rPr>
        <w:t xml:space="preserve"> MWh de </w:t>
      </w:r>
      <w:r w:rsidRPr="000D729C">
        <w:rPr>
          <w:rFonts w:ascii="Times New Roman" w:hAnsi="Times New Roman" w:cs="Times New Roman"/>
          <w:sz w:val="24"/>
          <w:szCs w:val="24"/>
        </w:rPr>
        <w:t>gaze naturale în PVT</w:t>
      </w:r>
      <w:r w:rsidR="00EB6EF8" w:rsidRPr="000D729C">
        <w:rPr>
          <w:rFonts w:ascii="Times New Roman" w:hAnsi="Times New Roman" w:cs="Times New Roman"/>
          <w:sz w:val="24"/>
          <w:szCs w:val="24"/>
        </w:rPr>
        <w:t>.</w:t>
      </w:r>
    </w:p>
    <w:p w14:paraId="3725D361" w14:textId="5B9BF6FB" w:rsidR="00600430" w:rsidRPr="000D729C" w:rsidRDefault="007E6295" w:rsidP="008E1416">
      <w:pPr>
        <w:spacing w:line="276" w:lineRule="auto"/>
        <w:ind w:firstLine="567"/>
        <w:jc w:val="both"/>
        <w:rPr>
          <w:rFonts w:ascii="Times New Roman" w:hAnsi="Times New Roman" w:cs="Times New Roman"/>
          <w:sz w:val="24"/>
          <w:szCs w:val="24"/>
        </w:rPr>
      </w:pPr>
      <w:r w:rsidRPr="000D729C">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095ED866" wp14:editId="0164A0D4">
            <wp:simplePos x="0" y="0"/>
            <wp:positionH relativeFrom="column">
              <wp:posOffset>240665</wp:posOffset>
            </wp:positionH>
            <wp:positionV relativeFrom="paragraph">
              <wp:posOffset>53340</wp:posOffset>
            </wp:positionV>
            <wp:extent cx="5588000" cy="2374900"/>
            <wp:effectExtent l="0" t="0" r="0" b="0"/>
            <wp:wrapThrough wrapText="bothSides">
              <wp:wrapPolygon edited="0">
                <wp:start x="0" y="0"/>
                <wp:lineTo x="0" y="21484"/>
                <wp:lineTo x="21575" y="21484"/>
                <wp:lineTo x="21575" y="0"/>
                <wp:lineTo x="0" y="0"/>
              </wp:wrapPolygon>
            </wp:wrapThrough>
            <wp:docPr id="27292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2B3B2F0F" w14:textId="1B79EA4A" w:rsidR="000E179C" w:rsidRPr="000D729C" w:rsidRDefault="000E179C" w:rsidP="00B43ED8">
      <w:pPr>
        <w:tabs>
          <w:tab w:val="left" w:pos="851"/>
          <w:tab w:val="left" w:pos="1134"/>
        </w:tabs>
        <w:spacing w:line="276" w:lineRule="auto"/>
        <w:ind w:firstLine="284"/>
        <w:jc w:val="both"/>
        <w:rPr>
          <w:rFonts w:ascii="Times New Roman" w:hAnsi="Times New Roman" w:cs="Times New Roman"/>
          <w:sz w:val="24"/>
          <w:szCs w:val="24"/>
        </w:rPr>
      </w:pPr>
      <w:r w:rsidRPr="000D729C">
        <w:rPr>
          <w:rFonts w:ascii="Times New Roman" w:hAnsi="Times New Roman" w:cs="Times New Roman"/>
          <w:sz w:val="24"/>
          <w:szCs w:val="24"/>
        </w:rPr>
        <w:t xml:space="preserve"> </w:t>
      </w:r>
    </w:p>
    <w:p w14:paraId="5E6290DB"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134F3824"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02F34624"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1E65AB6F"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65BF3D38"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17AD07A4"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68F9B154"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60A7C241"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00F7B303"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56BB7FD3"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52FE0817"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2AA839EF" w14:textId="77777777" w:rsidR="001550BE" w:rsidRPr="000D729C" w:rsidRDefault="001550BE" w:rsidP="0083347C">
      <w:pPr>
        <w:tabs>
          <w:tab w:val="left" w:pos="851"/>
          <w:tab w:val="left" w:pos="1134"/>
        </w:tabs>
        <w:spacing w:line="276" w:lineRule="auto"/>
        <w:jc w:val="both"/>
        <w:rPr>
          <w:rFonts w:ascii="Times New Roman" w:hAnsi="Times New Roman" w:cs="Times New Roman"/>
          <w:sz w:val="24"/>
          <w:szCs w:val="24"/>
        </w:rPr>
      </w:pPr>
    </w:p>
    <w:p w14:paraId="31F70978" w14:textId="0A3D50A6" w:rsidR="001550BE" w:rsidRPr="000D729C" w:rsidRDefault="0083347C" w:rsidP="00B43ED8">
      <w:pPr>
        <w:tabs>
          <w:tab w:val="left" w:pos="851"/>
          <w:tab w:val="left" w:pos="1134"/>
        </w:tabs>
        <w:spacing w:line="276" w:lineRule="auto"/>
        <w:ind w:firstLine="284"/>
        <w:jc w:val="both"/>
        <w:rPr>
          <w:rFonts w:ascii="Times New Roman" w:hAnsi="Times New Roman" w:cs="Times New Roman"/>
          <w:sz w:val="24"/>
          <w:szCs w:val="24"/>
        </w:rPr>
      </w:pPr>
      <w:r w:rsidRPr="000D729C">
        <w:rPr>
          <w:rFonts w:ascii="Times New Roman" w:hAnsi="Times New Roman" w:cs="Times New Roman"/>
          <w:b/>
          <w:bCs/>
          <w:noProof/>
          <w:lang w:val="en-US"/>
        </w:rPr>
        <w:lastRenderedPageBreak/>
        <w:drawing>
          <wp:inline distT="0" distB="0" distL="0" distR="0" wp14:anchorId="6D4BA401" wp14:editId="34D8BD64">
            <wp:extent cx="6012815" cy="3159512"/>
            <wp:effectExtent l="0" t="0" r="0" b="0"/>
            <wp:docPr id="1936895323"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7381D2"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0CC854E6" w14:textId="711B4842" w:rsidR="001550BE" w:rsidRPr="000D729C" w:rsidRDefault="00ED1B5D" w:rsidP="00ED1B5D">
      <w:pPr>
        <w:tabs>
          <w:tab w:val="left" w:pos="851"/>
          <w:tab w:val="left" w:pos="1134"/>
        </w:tabs>
        <w:spacing w:line="276" w:lineRule="auto"/>
        <w:jc w:val="both"/>
        <w:rPr>
          <w:rFonts w:ascii="Times New Roman" w:hAnsi="Times New Roman" w:cs="Times New Roman"/>
          <w:sz w:val="24"/>
          <w:szCs w:val="24"/>
        </w:rPr>
      </w:pPr>
      <w:r w:rsidRPr="000D729C">
        <w:rPr>
          <w:rFonts w:ascii="Times New Roman" w:hAnsi="Times New Roman" w:cs="Times New Roman"/>
          <w:sz w:val="24"/>
          <w:szCs w:val="24"/>
        </w:rPr>
        <w:t>Pe parcursul anului 2024</w:t>
      </w:r>
      <w:r w:rsidR="000D729C">
        <w:rPr>
          <w:rFonts w:ascii="Times New Roman" w:hAnsi="Times New Roman" w:cs="Times New Roman"/>
          <w:sz w:val="24"/>
          <w:szCs w:val="24"/>
        </w:rPr>
        <w:t>,</w:t>
      </w:r>
      <w:r w:rsidRPr="000D729C">
        <w:rPr>
          <w:rFonts w:ascii="Times New Roman" w:hAnsi="Times New Roman" w:cs="Times New Roman"/>
          <w:sz w:val="24"/>
          <w:szCs w:val="24"/>
        </w:rPr>
        <w:t xml:space="preserve"> </w:t>
      </w:r>
      <w:r w:rsidR="000D729C" w:rsidRPr="000D729C">
        <w:rPr>
          <w:rFonts w:ascii="Times New Roman" w:hAnsi="Times New Roman" w:cs="Times New Roman"/>
          <w:sz w:val="24"/>
          <w:szCs w:val="24"/>
        </w:rPr>
        <w:t xml:space="preserve">în cadrul </w:t>
      </w:r>
      <w:r w:rsidRPr="000D729C">
        <w:rPr>
          <w:rFonts w:ascii="Times New Roman" w:hAnsi="Times New Roman" w:cs="Times New Roman"/>
          <w:sz w:val="24"/>
          <w:szCs w:val="24"/>
        </w:rPr>
        <w:t>PVT</w:t>
      </w:r>
      <w:r w:rsidR="000D729C" w:rsidRPr="000D729C">
        <w:rPr>
          <w:rFonts w:ascii="Times New Roman" w:hAnsi="Times New Roman" w:cs="Times New Roman"/>
          <w:sz w:val="24"/>
          <w:szCs w:val="24"/>
        </w:rPr>
        <w:t xml:space="preserve"> au fost activi și au desfășurat tranzacții un număr de 11 PRE, însă în anul 2025, numărul acestora a crescut la 12 PRE activi, ceea ce indică o implicare mai ridicată  a PRE-urilor în procesul de tranzacționare față de anul precedent. </w:t>
      </w:r>
    </w:p>
    <w:p w14:paraId="27E5F35A" w14:textId="77777777" w:rsidR="001550BE" w:rsidRPr="000D729C" w:rsidRDefault="001550BE" w:rsidP="00B43ED8">
      <w:pPr>
        <w:tabs>
          <w:tab w:val="left" w:pos="851"/>
          <w:tab w:val="left" w:pos="1134"/>
        </w:tabs>
        <w:spacing w:line="276" w:lineRule="auto"/>
        <w:ind w:firstLine="284"/>
        <w:jc w:val="both"/>
        <w:rPr>
          <w:rFonts w:ascii="Times New Roman" w:hAnsi="Times New Roman" w:cs="Times New Roman"/>
          <w:sz w:val="24"/>
          <w:szCs w:val="24"/>
        </w:rPr>
      </w:pPr>
    </w:p>
    <w:p w14:paraId="3232DE69" w14:textId="77777777" w:rsidR="000E179C" w:rsidRPr="000D729C" w:rsidRDefault="000E179C" w:rsidP="004A17FD">
      <w:pPr>
        <w:pStyle w:val="Heading2"/>
        <w:numPr>
          <w:ilvl w:val="1"/>
          <w:numId w:val="5"/>
        </w:numPr>
        <w:tabs>
          <w:tab w:val="left" w:pos="426"/>
          <w:tab w:val="left" w:pos="851"/>
          <w:tab w:val="left" w:pos="1134"/>
        </w:tabs>
        <w:spacing w:line="276" w:lineRule="auto"/>
        <w:ind w:left="0" w:firstLine="0"/>
        <w:rPr>
          <w:rFonts w:ascii="Times New Roman" w:hAnsi="Times New Roman" w:cs="Times New Roman"/>
          <w:sz w:val="24"/>
          <w:szCs w:val="24"/>
        </w:rPr>
      </w:pPr>
      <w:bookmarkStart w:id="6" w:name="_Toc167708299"/>
      <w:r w:rsidRPr="000D729C">
        <w:rPr>
          <w:rFonts w:ascii="Times New Roman" w:hAnsi="Times New Roman" w:cs="Times New Roman"/>
          <w:sz w:val="24"/>
          <w:szCs w:val="24"/>
        </w:rPr>
        <w:t>Participanți cu acces la piața angro a gazelor naturale pe termen scurt într-o anumită perioadă de timp</w:t>
      </w:r>
      <w:bookmarkEnd w:id="6"/>
    </w:p>
    <w:p w14:paraId="4A9D7A55" w14:textId="6529ECA9" w:rsidR="000E179C" w:rsidRPr="000D729C" w:rsidRDefault="000E179C" w:rsidP="00382EF3">
      <w:pPr>
        <w:pStyle w:val="BodyText"/>
        <w:spacing w:before="9"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Pe </w:t>
      </w:r>
      <w:r w:rsidR="00746CC9" w:rsidRPr="000D729C">
        <w:rPr>
          <w:rFonts w:ascii="Times New Roman" w:hAnsi="Times New Roman" w:cs="Times New Roman"/>
          <w:sz w:val="24"/>
          <w:szCs w:val="24"/>
        </w:rPr>
        <w:t xml:space="preserve">platforma de tranzacționare a </w:t>
      </w:r>
      <w:r w:rsidRPr="000D729C">
        <w:rPr>
          <w:rFonts w:ascii="Times New Roman" w:hAnsi="Times New Roman" w:cs="Times New Roman"/>
          <w:sz w:val="24"/>
          <w:szCs w:val="24"/>
        </w:rPr>
        <w:t xml:space="preserve">gazelor naturale, operată de SRL </w:t>
      </w:r>
      <w:r w:rsidRPr="000D729C">
        <w:rPr>
          <w:rFonts w:ascii="Times New Roman" w:hAnsi="Times New Roman" w:cs="Times New Roman"/>
          <w:snapToGrid w:val="0"/>
          <w:sz w:val="24"/>
          <w:szCs w:val="24"/>
        </w:rPr>
        <w:t>„Bursa Română de Mărfuri (Romanian Commodities Exchange) Est”</w:t>
      </w:r>
      <w:r w:rsidRPr="000D729C">
        <w:rPr>
          <w:rFonts w:ascii="Times New Roman" w:hAnsi="Times New Roman" w:cs="Times New Roman"/>
          <w:sz w:val="24"/>
          <w:szCs w:val="24"/>
        </w:rPr>
        <w:t xml:space="preserve"> sunt înregistrați 32</w:t>
      </w:r>
      <w:r w:rsidR="005517A6" w:rsidRPr="000D729C">
        <w:rPr>
          <w:rFonts w:ascii="Times New Roman" w:hAnsi="Times New Roman" w:cs="Times New Roman"/>
          <w:sz w:val="24"/>
          <w:szCs w:val="24"/>
        </w:rPr>
        <w:t xml:space="preserve"> de</w:t>
      </w:r>
      <w:r w:rsidRPr="000D729C">
        <w:rPr>
          <w:rFonts w:ascii="Times New Roman" w:hAnsi="Times New Roman" w:cs="Times New Roman"/>
          <w:sz w:val="24"/>
          <w:szCs w:val="24"/>
        </w:rPr>
        <w:t xml:space="preserve"> utilizatori.</w:t>
      </w:r>
      <w:r w:rsidR="00B43ED8" w:rsidRPr="000D729C">
        <w:rPr>
          <w:rFonts w:ascii="Times New Roman" w:hAnsi="Times New Roman" w:cs="Times New Roman"/>
          <w:sz w:val="24"/>
          <w:szCs w:val="24"/>
        </w:rPr>
        <w:t xml:space="preserve"> </w:t>
      </w:r>
      <w:r w:rsidRPr="000D729C">
        <w:rPr>
          <w:rFonts w:ascii="Times New Roman" w:hAnsi="Times New Roman" w:cs="Times New Roman"/>
          <w:sz w:val="24"/>
          <w:szCs w:val="24"/>
        </w:rPr>
        <w:t>Volum</w:t>
      </w:r>
      <w:r w:rsidR="005517A6" w:rsidRPr="000D729C">
        <w:rPr>
          <w:rFonts w:ascii="Times New Roman" w:hAnsi="Times New Roman" w:cs="Times New Roman"/>
          <w:sz w:val="24"/>
          <w:szCs w:val="24"/>
        </w:rPr>
        <w:t>ul</w:t>
      </w:r>
      <w:r w:rsidRPr="000D729C">
        <w:rPr>
          <w:rFonts w:ascii="Times New Roman" w:hAnsi="Times New Roman" w:cs="Times New Roman"/>
          <w:sz w:val="24"/>
          <w:szCs w:val="24"/>
        </w:rPr>
        <w:t xml:space="preserve"> total tranzacționat pe platforma </w:t>
      </w:r>
      <w:r w:rsidR="00B43ED8" w:rsidRPr="000D729C">
        <w:rPr>
          <w:rFonts w:ascii="Times New Roman" w:hAnsi="Times New Roman" w:cs="Times New Roman"/>
          <w:sz w:val="24"/>
          <w:szCs w:val="24"/>
        </w:rPr>
        <w:t xml:space="preserve">de tranzacționare </w:t>
      </w:r>
      <w:r w:rsidRPr="000D729C">
        <w:rPr>
          <w:rFonts w:ascii="Times New Roman" w:hAnsi="Times New Roman" w:cs="Times New Roman"/>
          <w:sz w:val="24"/>
          <w:szCs w:val="24"/>
        </w:rPr>
        <w:t xml:space="preserve">până la data de 30.10.2025 a </w:t>
      </w:r>
      <w:r w:rsidR="005517A6" w:rsidRPr="000D729C">
        <w:rPr>
          <w:rFonts w:ascii="Times New Roman" w:hAnsi="Times New Roman" w:cs="Times New Roman"/>
          <w:sz w:val="24"/>
          <w:szCs w:val="24"/>
        </w:rPr>
        <w:t>fost de</w:t>
      </w:r>
      <w:r w:rsidRPr="000D729C">
        <w:rPr>
          <w:rFonts w:ascii="Times New Roman" w:hAnsi="Times New Roman" w:cs="Times New Roman"/>
          <w:sz w:val="24"/>
          <w:szCs w:val="24"/>
        </w:rPr>
        <w:t xml:space="preserve"> 538 304 MWh (0,53 TWh). Toate tranzacțiile au fost realizate pe </w:t>
      </w:r>
      <w:r w:rsidR="00382EF3" w:rsidRPr="000D729C">
        <w:rPr>
          <w:rFonts w:ascii="Times New Roman" w:hAnsi="Times New Roman" w:cs="Times New Roman"/>
          <w:sz w:val="24"/>
          <w:szCs w:val="24"/>
        </w:rPr>
        <w:t>p</w:t>
      </w:r>
      <w:r w:rsidRPr="000D729C">
        <w:rPr>
          <w:rFonts w:ascii="Times New Roman" w:hAnsi="Times New Roman" w:cs="Times New Roman"/>
          <w:sz w:val="24"/>
          <w:szCs w:val="24"/>
        </w:rPr>
        <w:t>iața produselor pe termen mediu și lung</w:t>
      </w:r>
      <w:r w:rsidR="00EB6EF8" w:rsidRPr="000D729C">
        <w:rPr>
          <w:rFonts w:ascii="Times New Roman" w:hAnsi="Times New Roman" w:cs="Times New Roman"/>
          <w:sz w:val="24"/>
          <w:szCs w:val="24"/>
        </w:rPr>
        <w:t>,</w:t>
      </w:r>
      <w:r w:rsidRPr="000D729C">
        <w:rPr>
          <w:rFonts w:ascii="Times New Roman" w:hAnsi="Times New Roman" w:cs="Times New Roman"/>
          <w:sz w:val="24"/>
          <w:szCs w:val="24"/>
        </w:rPr>
        <w:t xml:space="preserve"> pe piața retail. </w:t>
      </w:r>
    </w:p>
    <w:p w14:paraId="166AF66F" w14:textId="77777777" w:rsidR="000E179C" w:rsidRPr="000D729C" w:rsidRDefault="000E179C" w:rsidP="00251A69">
      <w:pPr>
        <w:tabs>
          <w:tab w:val="left" w:pos="567"/>
        </w:tabs>
        <w:spacing w:line="276" w:lineRule="auto"/>
        <w:ind w:firstLine="142"/>
        <w:rPr>
          <w:rFonts w:ascii="Times New Roman" w:hAnsi="Times New Roman" w:cs="Times New Roman"/>
          <w:sz w:val="24"/>
          <w:szCs w:val="24"/>
        </w:rPr>
      </w:pPr>
    </w:p>
    <w:p w14:paraId="207CB4DA" w14:textId="4F748AC0" w:rsidR="000E179C" w:rsidRPr="000D729C" w:rsidRDefault="000E179C" w:rsidP="00251A69">
      <w:pPr>
        <w:pStyle w:val="Heading1"/>
        <w:numPr>
          <w:ilvl w:val="2"/>
          <w:numId w:val="1"/>
        </w:numPr>
        <w:tabs>
          <w:tab w:val="left" w:pos="0"/>
          <w:tab w:val="left" w:pos="284"/>
          <w:tab w:val="left" w:pos="567"/>
        </w:tabs>
        <w:spacing w:line="276" w:lineRule="auto"/>
        <w:ind w:left="0" w:firstLine="142"/>
        <w:jc w:val="left"/>
        <w:rPr>
          <w:rFonts w:ascii="Times New Roman" w:hAnsi="Times New Roman" w:cs="Times New Roman"/>
          <w:sz w:val="24"/>
          <w:szCs w:val="24"/>
        </w:rPr>
      </w:pPr>
      <w:bookmarkStart w:id="7" w:name="_Toc174354978"/>
      <w:r w:rsidRPr="000D729C">
        <w:rPr>
          <w:rFonts w:ascii="Times New Roman" w:hAnsi="Times New Roman" w:cs="Times New Roman"/>
          <w:sz w:val="24"/>
          <w:szCs w:val="24"/>
        </w:rPr>
        <w:t>ECHILIBRAREA OPERAȚIONALĂ</w:t>
      </w:r>
      <w:bookmarkEnd w:id="7"/>
    </w:p>
    <w:p w14:paraId="6B32CF55" w14:textId="582118F8" w:rsidR="000E179C" w:rsidRPr="000D729C" w:rsidRDefault="000E179C">
      <w:pPr>
        <w:pStyle w:val="BodyText"/>
        <w:spacing w:before="38"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În funcție de starea, prezentă sau prognozată, de echilibru fizic a </w:t>
      </w:r>
      <w:r w:rsidR="00500C39" w:rsidRPr="000D729C">
        <w:rPr>
          <w:rFonts w:ascii="Times New Roman" w:hAnsi="Times New Roman" w:cs="Times New Roman"/>
          <w:sz w:val="24"/>
          <w:szCs w:val="24"/>
        </w:rPr>
        <w:t>s</w:t>
      </w:r>
      <w:r w:rsidRPr="000D729C">
        <w:rPr>
          <w:rFonts w:ascii="Times New Roman" w:hAnsi="Times New Roman" w:cs="Times New Roman"/>
          <w:sz w:val="24"/>
          <w:szCs w:val="24"/>
        </w:rPr>
        <w:t>istemului de transport</w:t>
      </w:r>
      <w:r w:rsidR="00E17665" w:rsidRPr="000D729C">
        <w:rPr>
          <w:rFonts w:ascii="Times New Roman" w:hAnsi="Times New Roman" w:cs="Times New Roman"/>
          <w:sz w:val="24"/>
          <w:szCs w:val="24"/>
        </w:rPr>
        <w:t xml:space="preserve"> al</w:t>
      </w:r>
      <w:r w:rsidRPr="000D729C">
        <w:rPr>
          <w:rFonts w:ascii="Times New Roman" w:hAnsi="Times New Roman" w:cs="Times New Roman"/>
          <w:sz w:val="24"/>
          <w:szCs w:val="24"/>
        </w:rPr>
        <w:t xml:space="preserve"> gaze</w:t>
      </w:r>
      <w:r w:rsidR="00E17665" w:rsidRPr="000D729C">
        <w:rPr>
          <w:rFonts w:ascii="Times New Roman" w:hAnsi="Times New Roman" w:cs="Times New Roman"/>
          <w:sz w:val="24"/>
          <w:szCs w:val="24"/>
        </w:rPr>
        <w:t>lor</w:t>
      </w:r>
      <w:r w:rsidRPr="000D729C">
        <w:rPr>
          <w:rFonts w:ascii="Times New Roman" w:hAnsi="Times New Roman" w:cs="Times New Roman"/>
          <w:sz w:val="24"/>
          <w:szCs w:val="24"/>
        </w:rPr>
        <w:t xml:space="preserve"> naturale, OST va recurge la întreprinderea acțiunii de echilibrare prin cumpărarea/vânzarea cantităților de gaze naturale necesare pentru echilibrare. </w:t>
      </w:r>
    </w:p>
    <w:p w14:paraId="61384984" w14:textId="25D9DE71" w:rsidR="000E179C" w:rsidRPr="000D729C" w:rsidRDefault="000E179C" w:rsidP="00251A69">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Această echilibrare va fi independentă de dezechilibrele comerciale ale fiecărui PRE și va fi dependentă numai de necesitatea obiectivă a sistemului determinată de OST. „Vestmoldtransgaz” S.R.L. întreprinde activități de echilibrare fizică</w:t>
      </w:r>
      <w:r w:rsidR="00E17665" w:rsidRPr="000D729C">
        <w:rPr>
          <w:rFonts w:ascii="Times New Roman" w:hAnsi="Times New Roman" w:cs="Times New Roman"/>
          <w:sz w:val="24"/>
          <w:szCs w:val="24"/>
        </w:rPr>
        <w:t xml:space="preserve"> după</w:t>
      </w:r>
      <w:r w:rsidRPr="000D729C">
        <w:rPr>
          <w:rFonts w:ascii="Times New Roman" w:hAnsi="Times New Roman" w:cs="Times New Roman"/>
          <w:sz w:val="24"/>
          <w:szCs w:val="24"/>
        </w:rPr>
        <w:t xml:space="preserve"> necesitate.</w:t>
      </w:r>
      <w:r w:rsidR="00EB6EF8" w:rsidRPr="000D729C">
        <w:rPr>
          <w:rFonts w:ascii="Times New Roman" w:hAnsi="Times New Roman" w:cs="Times New Roman"/>
          <w:sz w:val="24"/>
          <w:szCs w:val="24"/>
        </w:rPr>
        <w:t xml:space="preserve"> </w:t>
      </w:r>
      <w:r w:rsidRPr="000D729C">
        <w:rPr>
          <w:rFonts w:ascii="Times New Roman" w:hAnsi="Times New Roman" w:cs="Times New Roman"/>
          <w:sz w:val="24"/>
          <w:szCs w:val="24"/>
        </w:rPr>
        <w:t xml:space="preserve">În concordanță cu prevederile art. 453 din Codul rețelelor, OST întreprinde acțiuni de echilibrare prin: </w:t>
      </w:r>
    </w:p>
    <w:p w14:paraId="47693B19" w14:textId="77777777" w:rsidR="000E179C" w:rsidRPr="000D729C" w:rsidRDefault="000E179C" w:rsidP="0063593B">
      <w:pPr>
        <w:pStyle w:val="BodyText"/>
        <w:numPr>
          <w:ilvl w:val="0"/>
          <w:numId w:val="2"/>
        </w:numPr>
        <w:tabs>
          <w:tab w:val="left" w:pos="851"/>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cumpărarea sau vânzarea de produse standardizate pe termen scurt (în continuare - PSTS) pe o platformă de tranzacționare; și/sau </w:t>
      </w:r>
    </w:p>
    <w:p w14:paraId="2B0D085F" w14:textId="77777777" w:rsidR="000E179C" w:rsidRPr="000D729C" w:rsidRDefault="000E179C" w:rsidP="0063593B">
      <w:pPr>
        <w:pStyle w:val="BodyText"/>
        <w:numPr>
          <w:ilvl w:val="0"/>
          <w:numId w:val="2"/>
        </w:numPr>
        <w:tabs>
          <w:tab w:val="left" w:pos="851"/>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utilizarea serviciilor de echilibrare.</w:t>
      </w:r>
    </w:p>
    <w:p w14:paraId="5CA37C83" w14:textId="2DBA46CA" w:rsidR="000E179C" w:rsidRPr="000D729C" w:rsidRDefault="000E179C" w:rsidP="00251A69">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Astfel</w:t>
      </w:r>
      <w:r w:rsidR="00E17665" w:rsidRPr="000D729C">
        <w:rPr>
          <w:rFonts w:ascii="Times New Roman" w:hAnsi="Times New Roman" w:cs="Times New Roman"/>
          <w:sz w:val="24"/>
          <w:szCs w:val="24"/>
        </w:rPr>
        <w:t>,</w:t>
      </w:r>
      <w:r w:rsidRPr="000D729C">
        <w:rPr>
          <w:rFonts w:ascii="Times New Roman" w:hAnsi="Times New Roman" w:cs="Times New Roman"/>
          <w:sz w:val="24"/>
          <w:szCs w:val="24"/>
        </w:rPr>
        <w:t xml:space="preserve"> „Vestmoldtransgaz” S.R.L. </w:t>
      </w:r>
      <w:r w:rsidR="007D7A64" w:rsidRPr="000D729C">
        <w:rPr>
          <w:rFonts w:ascii="Times New Roman" w:hAnsi="Times New Roman" w:cs="Times New Roman"/>
          <w:sz w:val="24"/>
          <w:szCs w:val="24"/>
        </w:rPr>
        <w:t>realizează</w:t>
      </w:r>
      <w:r w:rsidRPr="000D729C">
        <w:rPr>
          <w:rFonts w:ascii="Times New Roman" w:hAnsi="Times New Roman" w:cs="Times New Roman"/>
          <w:sz w:val="24"/>
          <w:szCs w:val="24"/>
        </w:rPr>
        <w:t xml:space="preserve"> acțiuni de echilibrare, atât pe baza unor tranzacții de gaze naturale efectuate în cadrul platformelor de tranzacționare aprobate de ANRE, cât și prin utilizarea serviciilor de echilibrare. </w:t>
      </w:r>
    </w:p>
    <w:p w14:paraId="4B0B2BED" w14:textId="21DE990D" w:rsidR="000E179C" w:rsidRPr="000D729C" w:rsidRDefault="000E179C" w:rsidP="00251A69">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În absența unui nivel suficient de lichiditate a</w:t>
      </w:r>
      <w:r w:rsidR="00E17665" w:rsidRPr="000D729C">
        <w:rPr>
          <w:rFonts w:ascii="Times New Roman" w:hAnsi="Times New Roman" w:cs="Times New Roman"/>
          <w:sz w:val="24"/>
          <w:szCs w:val="24"/>
        </w:rPr>
        <w:t>l</w:t>
      </w:r>
      <w:r w:rsidRPr="000D729C">
        <w:rPr>
          <w:rFonts w:ascii="Times New Roman" w:hAnsi="Times New Roman" w:cs="Times New Roman"/>
          <w:sz w:val="24"/>
          <w:szCs w:val="24"/>
        </w:rPr>
        <w:t xml:space="preserve"> pieței angro a gazelor naturale în ceia ce privește produsele standardizate pe termen scurt (PSTS), la întreprinderea acțiunilor de echilibrare, Codul rețelelor permite</w:t>
      </w:r>
      <w:r w:rsidR="00EB6EF8" w:rsidRPr="000D729C">
        <w:rPr>
          <w:rFonts w:ascii="Times New Roman" w:hAnsi="Times New Roman" w:cs="Times New Roman"/>
          <w:sz w:val="24"/>
          <w:szCs w:val="24"/>
        </w:rPr>
        <w:t xml:space="preserve"> OST utilizarea ca alternativă a </w:t>
      </w:r>
      <w:r w:rsidRPr="000D729C">
        <w:rPr>
          <w:rFonts w:ascii="Times New Roman" w:hAnsi="Times New Roman" w:cs="Times New Roman"/>
          <w:sz w:val="24"/>
          <w:szCs w:val="24"/>
        </w:rPr>
        <w:t>serviciil</w:t>
      </w:r>
      <w:r w:rsidR="00EB6EF8" w:rsidRPr="000D729C">
        <w:rPr>
          <w:rFonts w:ascii="Times New Roman" w:hAnsi="Times New Roman" w:cs="Times New Roman"/>
          <w:sz w:val="24"/>
          <w:szCs w:val="24"/>
        </w:rPr>
        <w:t>or</w:t>
      </w:r>
      <w:r w:rsidRPr="000D729C">
        <w:rPr>
          <w:rFonts w:ascii="Times New Roman" w:hAnsi="Times New Roman" w:cs="Times New Roman"/>
          <w:sz w:val="24"/>
          <w:szCs w:val="24"/>
        </w:rPr>
        <w:t xml:space="preserve"> de echilibrare.</w:t>
      </w:r>
      <w:r w:rsidR="00EB6EF8" w:rsidRPr="000D729C">
        <w:rPr>
          <w:rFonts w:ascii="Times New Roman" w:hAnsi="Times New Roman" w:cs="Times New Roman"/>
          <w:sz w:val="24"/>
          <w:szCs w:val="24"/>
        </w:rPr>
        <w:t xml:space="preserve"> </w:t>
      </w:r>
      <w:r w:rsidRPr="000D729C">
        <w:rPr>
          <w:rFonts w:ascii="Times New Roman" w:hAnsi="Times New Roman" w:cs="Times New Roman"/>
          <w:sz w:val="24"/>
          <w:szCs w:val="24"/>
        </w:rPr>
        <w:lastRenderedPageBreak/>
        <w:t>Serviciile de echilibrare reprezintă serviciile prestate unui OST în baz</w:t>
      </w:r>
      <w:r w:rsidR="00E17665" w:rsidRPr="000D729C">
        <w:rPr>
          <w:rFonts w:ascii="Times New Roman" w:hAnsi="Times New Roman" w:cs="Times New Roman"/>
          <w:sz w:val="24"/>
          <w:szCs w:val="24"/>
        </w:rPr>
        <w:t xml:space="preserve">a unui </w:t>
      </w:r>
      <w:r w:rsidRPr="000D729C">
        <w:rPr>
          <w:rFonts w:ascii="Times New Roman" w:hAnsi="Times New Roman" w:cs="Times New Roman"/>
          <w:sz w:val="24"/>
          <w:szCs w:val="24"/>
        </w:rPr>
        <w:t>contract, necesar pentru îndeplinirea acțiunilor de echilibrare.</w:t>
      </w:r>
      <w:r w:rsidR="00EB6EF8" w:rsidRPr="000D729C">
        <w:rPr>
          <w:rFonts w:ascii="Times New Roman" w:hAnsi="Times New Roman" w:cs="Times New Roman"/>
          <w:sz w:val="24"/>
          <w:szCs w:val="24"/>
        </w:rPr>
        <w:t xml:space="preserve"> </w:t>
      </w:r>
      <w:r w:rsidRPr="000D729C">
        <w:rPr>
          <w:rFonts w:ascii="Times New Roman" w:hAnsi="Times New Roman" w:cs="Times New Roman"/>
          <w:sz w:val="24"/>
          <w:szCs w:val="24"/>
        </w:rPr>
        <w:t>Cantitățile de gaze naturale vor fi notificate către furnizorul de gaze naturale c</w:t>
      </w:r>
      <w:r w:rsidR="00E17665" w:rsidRPr="000D729C">
        <w:rPr>
          <w:rFonts w:ascii="Times New Roman" w:hAnsi="Times New Roman" w:cs="Times New Roman"/>
          <w:sz w:val="24"/>
          <w:szCs w:val="24"/>
        </w:rPr>
        <w:t>are</w:t>
      </w:r>
      <w:r w:rsidRPr="000D729C">
        <w:rPr>
          <w:rFonts w:ascii="Times New Roman" w:hAnsi="Times New Roman" w:cs="Times New Roman"/>
          <w:sz w:val="24"/>
          <w:szCs w:val="24"/>
        </w:rPr>
        <w:t xml:space="preserve"> va presta serviciul de echilibrare, pentru a fi injectate/extrase din sistemul de transport </w:t>
      </w:r>
      <w:r w:rsidR="00E17665" w:rsidRPr="000D729C">
        <w:rPr>
          <w:rFonts w:ascii="Times New Roman" w:hAnsi="Times New Roman" w:cs="Times New Roman"/>
          <w:sz w:val="24"/>
          <w:szCs w:val="24"/>
        </w:rPr>
        <w:t xml:space="preserve">al </w:t>
      </w:r>
      <w:r w:rsidRPr="000D729C">
        <w:rPr>
          <w:rFonts w:ascii="Times New Roman" w:hAnsi="Times New Roman" w:cs="Times New Roman"/>
          <w:sz w:val="24"/>
          <w:szCs w:val="24"/>
        </w:rPr>
        <w:t>gaze</w:t>
      </w:r>
      <w:r w:rsidR="00E17665" w:rsidRPr="000D729C">
        <w:rPr>
          <w:rFonts w:ascii="Times New Roman" w:hAnsi="Times New Roman" w:cs="Times New Roman"/>
          <w:sz w:val="24"/>
          <w:szCs w:val="24"/>
        </w:rPr>
        <w:t>lor</w:t>
      </w:r>
      <w:r w:rsidRPr="000D729C">
        <w:rPr>
          <w:rFonts w:ascii="Times New Roman" w:hAnsi="Times New Roman" w:cs="Times New Roman"/>
          <w:sz w:val="24"/>
          <w:szCs w:val="24"/>
        </w:rPr>
        <w:t xml:space="preserve"> naturale.</w:t>
      </w:r>
    </w:p>
    <w:p w14:paraId="06A10F39" w14:textId="76B26DBD" w:rsidR="000E179C" w:rsidRPr="000D729C" w:rsidRDefault="000E179C" w:rsidP="00382EF3">
      <w:pPr>
        <w:spacing w:before="2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Serviciile de echilibrare urmează a fi achiziționate într-un mod bazat pe piață, prin intermediul unei proceduri de licitație publică, transparentă și nediscriminatorie, în conformitate cu Regulile pieței gazelor naturale. Termenii și condițiile contractelor privind furnizarea serviciilor de echilibrare urmează a fi elaborate de „Vestmoldtransgaz” S.R.L.</w:t>
      </w:r>
      <w:r w:rsidR="00E17665" w:rsidRPr="000D729C">
        <w:rPr>
          <w:rFonts w:ascii="Times New Roman" w:hAnsi="Times New Roman" w:cs="Times New Roman"/>
          <w:sz w:val="24"/>
          <w:szCs w:val="24"/>
        </w:rPr>
        <w:t>,</w:t>
      </w:r>
      <w:r w:rsidRPr="000D729C">
        <w:rPr>
          <w:rFonts w:ascii="Times New Roman" w:hAnsi="Times New Roman" w:cs="Times New Roman"/>
          <w:sz w:val="24"/>
          <w:szCs w:val="24"/>
        </w:rPr>
        <w:t xml:space="preserve"> fiind aplicabile tuturor furnizorilor</w:t>
      </w:r>
      <w:r w:rsidR="00E17665" w:rsidRPr="000D729C">
        <w:rPr>
          <w:rFonts w:ascii="Times New Roman" w:hAnsi="Times New Roman" w:cs="Times New Roman"/>
          <w:sz w:val="24"/>
          <w:szCs w:val="24"/>
        </w:rPr>
        <w:t xml:space="preserve"> de</w:t>
      </w:r>
      <w:r w:rsidRPr="000D729C">
        <w:rPr>
          <w:rFonts w:ascii="Times New Roman" w:hAnsi="Times New Roman" w:cs="Times New Roman"/>
          <w:sz w:val="24"/>
          <w:szCs w:val="24"/>
        </w:rPr>
        <w:t xml:space="preserve"> servicii</w:t>
      </w:r>
      <w:r w:rsidR="00E17665" w:rsidRPr="000D729C">
        <w:rPr>
          <w:rFonts w:ascii="Times New Roman" w:hAnsi="Times New Roman" w:cs="Times New Roman"/>
          <w:sz w:val="24"/>
          <w:szCs w:val="24"/>
        </w:rPr>
        <w:t xml:space="preserve"> </w:t>
      </w:r>
      <w:r w:rsidRPr="000D729C">
        <w:rPr>
          <w:rFonts w:ascii="Times New Roman" w:hAnsi="Times New Roman" w:cs="Times New Roman"/>
          <w:sz w:val="24"/>
          <w:szCs w:val="24"/>
        </w:rPr>
        <w:t>de echilibrare, în conformitate cu prevederile Regulilor pieței gazelor naturale.</w:t>
      </w:r>
    </w:p>
    <w:p w14:paraId="6BD1B54D" w14:textId="77777777" w:rsidR="000E179C" w:rsidRPr="000D729C" w:rsidRDefault="000E179C" w:rsidP="00382EF3">
      <w:pPr>
        <w:spacing w:before="2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Eficiența procesului de echilibrare depinde, în principal, de gradul de lichiditate al pieței gazelor naturale, de acuratețea prognozelor de consum și de capacitatea de reacție a sistemului de transport la variațiile cererii.</w:t>
      </w:r>
    </w:p>
    <w:p w14:paraId="28E52650" w14:textId="3EA6FCD9" w:rsidR="00516B57" w:rsidRPr="000D729C" w:rsidRDefault="00516B57" w:rsidP="00E02869">
      <w:pPr>
        <w:spacing w:before="2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OST are obligația să echilibreze rețeaua de transport în timp real și să asigure fluxurile de gaze naturale necesare pentru toate PRE, indiferent de dezechilibrele create de aceștia. Costurile OST pentru îndeplinirea acestei sarcini sunt recuperate de la PRE, prin intermediul plăților de neutralitate.</w:t>
      </w:r>
      <w:r w:rsidR="00E02869" w:rsidRPr="000D729C">
        <w:rPr>
          <w:rFonts w:ascii="Times New Roman" w:hAnsi="Times New Roman" w:cs="Times New Roman"/>
          <w:sz w:val="24"/>
          <w:szCs w:val="24"/>
        </w:rPr>
        <w:t xml:space="preserve"> </w:t>
      </w:r>
    </w:p>
    <w:p w14:paraId="430A2D5B" w14:textId="77777777" w:rsidR="00516B57" w:rsidRPr="000D729C" w:rsidRDefault="00516B57" w:rsidP="00382EF3">
      <w:pPr>
        <w:spacing w:before="22" w:line="276" w:lineRule="auto"/>
        <w:ind w:firstLine="567"/>
        <w:jc w:val="both"/>
        <w:rPr>
          <w:rFonts w:ascii="Times New Roman" w:hAnsi="Times New Roman" w:cs="Times New Roman"/>
          <w:sz w:val="24"/>
          <w:szCs w:val="24"/>
        </w:rPr>
      </w:pPr>
    </w:p>
    <w:p w14:paraId="1B7A1DD7" w14:textId="77777777" w:rsidR="000E179C" w:rsidRPr="000D729C" w:rsidRDefault="000E179C" w:rsidP="007D7A64">
      <w:pPr>
        <w:pStyle w:val="Heading1"/>
        <w:numPr>
          <w:ilvl w:val="2"/>
          <w:numId w:val="1"/>
        </w:numPr>
        <w:tabs>
          <w:tab w:val="left" w:pos="284"/>
        </w:tabs>
        <w:spacing w:before="120" w:line="276" w:lineRule="auto"/>
        <w:ind w:left="0" w:firstLine="142"/>
        <w:jc w:val="left"/>
        <w:rPr>
          <w:rFonts w:ascii="Times New Roman" w:hAnsi="Times New Roman" w:cs="Times New Roman"/>
          <w:sz w:val="24"/>
          <w:szCs w:val="24"/>
        </w:rPr>
      </w:pPr>
      <w:bookmarkStart w:id="8" w:name="_TOC_250006"/>
      <w:bookmarkStart w:id="9" w:name="_Toc167708300"/>
      <w:r w:rsidRPr="000D729C">
        <w:rPr>
          <w:rFonts w:ascii="Times New Roman" w:hAnsi="Times New Roman" w:cs="Times New Roman"/>
          <w:sz w:val="24"/>
          <w:szCs w:val="24"/>
        </w:rPr>
        <w:t xml:space="preserve">MĂSURI </w:t>
      </w:r>
      <w:bookmarkEnd w:id="8"/>
      <w:r w:rsidRPr="000D729C">
        <w:rPr>
          <w:rFonts w:ascii="Times New Roman" w:hAnsi="Times New Roman" w:cs="Times New Roman"/>
          <w:sz w:val="24"/>
          <w:szCs w:val="24"/>
        </w:rPr>
        <w:t>PROVIZORII</w:t>
      </w:r>
      <w:bookmarkEnd w:id="9"/>
    </w:p>
    <w:p w14:paraId="36D7848B" w14:textId="2C4C7DDE" w:rsidR="000E179C" w:rsidRPr="000D729C" w:rsidRDefault="000E179C" w:rsidP="000E179C">
      <w:pPr>
        <w:pStyle w:val="BodyText"/>
        <w:spacing w:before="40"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Măsurile provizorii de implementare a normelor privind echilibrarea</w:t>
      </w:r>
      <w:r w:rsidR="0007180B" w:rsidRPr="000D729C">
        <w:rPr>
          <w:rFonts w:ascii="Times New Roman" w:hAnsi="Times New Roman" w:cs="Times New Roman"/>
          <w:sz w:val="24"/>
          <w:szCs w:val="24"/>
        </w:rPr>
        <w:t xml:space="preserve"> </w:t>
      </w:r>
      <w:r w:rsidRPr="000D729C">
        <w:rPr>
          <w:rFonts w:ascii="Times New Roman" w:hAnsi="Times New Roman" w:cs="Times New Roman"/>
          <w:sz w:val="24"/>
          <w:szCs w:val="24"/>
        </w:rPr>
        <w:t xml:space="preserve">sunt reglementate în Codul rețelelor gazelor naturale și </w:t>
      </w:r>
      <w:r w:rsidR="0007180B" w:rsidRPr="000D729C">
        <w:rPr>
          <w:rFonts w:ascii="Times New Roman" w:hAnsi="Times New Roman" w:cs="Times New Roman"/>
          <w:sz w:val="24"/>
          <w:szCs w:val="24"/>
        </w:rPr>
        <w:t xml:space="preserve">în </w:t>
      </w:r>
      <w:r w:rsidRPr="000D729C">
        <w:rPr>
          <w:rFonts w:ascii="Times New Roman" w:hAnsi="Times New Roman" w:cs="Times New Roman"/>
          <w:sz w:val="24"/>
          <w:szCs w:val="24"/>
        </w:rPr>
        <w:t>Regulile pieței gazelor naturale.</w:t>
      </w:r>
    </w:p>
    <w:p w14:paraId="1AD23193" w14:textId="77777777" w:rsidR="000E179C" w:rsidRPr="000D729C" w:rsidRDefault="000E179C" w:rsidP="00B43ED8">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Măsurile provizorii de echilibrare includ:</w:t>
      </w:r>
    </w:p>
    <w:p w14:paraId="0CC4A5B4" w14:textId="77777777" w:rsidR="000E179C" w:rsidRPr="000D729C" w:rsidRDefault="000E179C" w:rsidP="004A17FD">
      <w:pPr>
        <w:pStyle w:val="ListParagraph"/>
        <w:numPr>
          <w:ilvl w:val="0"/>
          <w:numId w:val="6"/>
        </w:numPr>
        <w:spacing w:before="0" w:line="276" w:lineRule="auto"/>
        <w:ind w:hanging="153"/>
        <w:jc w:val="both"/>
        <w:rPr>
          <w:rFonts w:ascii="Times New Roman" w:hAnsi="Times New Roman" w:cs="Times New Roman"/>
          <w:b/>
          <w:bCs/>
          <w:i/>
          <w:sz w:val="24"/>
          <w:szCs w:val="24"/>
        </w:rPr>
      </w:pPr>
      <w:r w:rsidRPr="000D729C">
        <w:rPr>
          <w:rFonts w:ascii="Times New Roman" w:hAnsi="Times New Roman" w:cs="Times New Roman"/>
          <w:b/>
          <w:bCs/>
          <w:i/>
          <w:sz w:val="24"/>
          <w:szCs w:val="24"/>
        </w:rPr>
        <w:t>Toleranța;</w:t>
      </w:r>
    </w:p>
    <w:p w14:paraId="6F15A0F0" w14:textId="77777777" w:rsidR="000E179C" w:rsidRPr="000D729C" w:rsidRDefault="000E179C" w:rsidP="004A17FD">
      <w:pPr>
        <w:pStyle w:val="ListParagraph"/>
        <w:numPr>
          <w:ilvl w:val="0"/>
          <w:numId w:val="6"/>
        </w:numPr>
        <w:spacing w:before="0" w:line="276" w:lineRule="auto"/>
        <w:ind w:hanging="153"/>
        <w:jc w:val="both"/>
        <w:rPr>
          <w:rFonts w:ascii="Times New Roman" w:hAnsi="Times New Roman" w:cs="Times New Roman"/>
          <w:b/>
          <w:bCs/>
          <w:i/>
          <w:sz w:val="24"/>
          <w:szCs w:val="24"/>
        </w:rPr>
      </w:pPr>
      <w:r w:rsidRPr="000D729C">
        <w:rPr>
          <w:rFonts w:ascii="Times New Roman" w:hAnsi="Times New Roman" w:cs="Times New Roman"/>
          <w:b/>
          <w:bCs/>
          <w:i/>
          <w:sz w:val="24"/>
          <w:szCs w:val="24"/>
        </w:rPr>
        <w:t>Platforma de echilibrare;</w:t>
      </w:r>
    </w:p>
    <w:p w14:paraId="2BCBFA05" w14:textId="17D35F5C" w:rsidR="000E179C" w:rsidRPr="000D729C" w:rsidRDefault="000E179C" w:rsidP="004A17FD">
      <w:pPr>
        <w:pStyle w:val="ListParagraph"/>
        <w:numPr>
          <w:ilvl w:val="0"/>
          <w:numId w:val="6"/>
        </w:numPr>
        <w:spacing w:before="0" w:line="276" w:lineRule="auto"/>
        <w:ind w:hanging="153"/>
        <w:jc w:val="both"/>
        <w:rPr>
          <w:rFonts w:ascii="Times New Roman" w:hAnsi="Times New Roman" w:cs="Times New Roman"/>
          <w:i/>
          <w:sz w:val="24"/>
          <w:szCs w:val="24"/>
        </w:rPr>
      </w:pPr>
      <w:r w:rsidRPr="000D729C">
        <w:rPr>
          <w:rFonts w:ascii="Times New Roman" w:hAnsi="Times New Roman" w:cs="Times New Roman"/>
          <w:b/>
          <w:bCs/>
          <w:i/>
          <w:sz w:val="24"/>
          <w:szCs w:val="24"/>
        </w:rPr>
        <w:t>Plata provizorie pentru dezechilibru.</w:t>
      </w:r>
    </w:p>
    <w:p w14:paraId="22FE1481" w14:textId="77777777" w:rsidR="00500C39" w:rsidRPr="000D729C" w:rsidRDefault="00500C39" w:rsidP="00500C39">
      <w:pPr>
        <w:pStyle w:val="ListParagraph"/>
        <w:spacing w:before="0" w:line="276" w:lineRule="auto"/>
        <w:ind w:left="720" w:firstLine="0"/>
        <w:jc w:val="both"/>
        <w:rPr>
          <w:rFonts w:ascii="Times New Roman" w:hAnsi="Times New Roman" w:cs="Times New Roman"/>
          <w:i/>
          <w:sz w:val="24"/>
          <w:szCs w:val="24"/>
        </w:rPr>
      </w:pPr>
    </w:p>
    <w:p w14:paraId="7224791E" w14:textId="77777777" w:rsidR="000E179C" w:rsidRPr="000D729C" w:rsidRDefault="000E179C" w:rsidP="004A17FD">
      <w:pPr>
        <w:pStyle w:val="Heading2"/>
        <w:numPr>
          <w:ilvl w:val="1"/>
          <w:numId w:val="7"/>
        </w:numPr>
        <w:tabs>
          <w:tab w:val="left" w:pos="426"/>
        </w:tabs>
        <w:spacing w:before="7" w:line="276" w:lineRule="auto"/>
        <w:ind w:left="709" w:hanging="709"/>
        <w:rPr>
          <w:rFonts w:ascii="Times New Roman" w:hAnsi="Times New Roman" w:cs="Times New Roman"/>
          <w:sz w:val="24"/>
          <w:szCs w:val="24"/>
        </w:rPr>
      </w:pPr>
      <w:r w:rsidRPr="000D729C">
        <w:rPr>
          <w:rFonts w:ascii="Times New Roman" w:hAnsi="Times New Roman" w:cs="Times New Roman"/>
          <w:sz w:val="24"/>
          <w:szCs w:val="24"/>
        </w:rPr>
        <w:t>Toleranța</w:t>
      </w:r>
    </w:p>
    <w:p w14:paraId="5ADF2AF8" w14:textId="15579DEF" w:rsidR="000E179C" w:rsidRPr="000D729C" w:rsidRDefault="000E179C" w:rsidP="007D7A64">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Conform pct. 618 din Codul rețelelor, nivelul de toleranță reprezintă cantitatea minimă de gaze naturale care urmează să fie cumpărată sau vândută de către fiecare US la un preț de referință.</w:t>
      </w:r>
      <w:r w:rsidR="007D7A64" w:rsidRPr="000D729C">
        <w:rPr>
          <w:rFonts w:ascii="Times New Roman" w:hAnsi="Times New Roman" w:cs="Times New Roman"/>
          <w:sz w:val="24"/>
          <w:szCs w:val="24"/>
        </w:rPr>
        <w:t xml:space="preserve"> </w:t>
      </w:r>
      <w:r w:rsidRPr="000D729C">
        <w:rPr>
          <w:rFonts w:ascii="Times New Roman" w:hAnsi="Times New Roman" w:cs="Times New Roman"/>
          <w:sz w:val="24"/>
          <w:szCs w:val="24"/>
        </w:rPr>
        <w:t>Considerând îndeplinite condițiile specificate la art. 615 din Cod</w:t>
      </w:r>
      <w:r w:rsidR="00382EF3" w:rsidRPr="000D729C">
        <w:rPr>
          <w:rFonts w:ascii="Times New Roman" w:hAnsi="Times New Roman" w:cs="Times New Roman"/>
          <w:sz w:val="24"/>
          <w:szCs w:val="24"/>
        </w:rPr>
        <w:t>ul rețelelor</w:t>
      </w:r>
      <w:r w:rsidRPr="000D729C">
        <w:rPr>
          <w:rFonts w:ascii="Times New Roman" w:hAnsi="Times New Roman" w:cs="Times New Roman"/>
          <w:sz w:val="24"/>
          <w:szCs w:val="24"/>
        </w:rPr>
        <w:t xml:space="preserve">, se propune utilizarea </w:t>
      </w:r>
      <w:r w:rsidRPr="000D729C">
        <w:rPr>
          <w:rFonts w:ascii="Times New Roman" w:hAnsi="Times New Roman" w:cs="Times New Roman"/>
          <w:bCs/>
          <w:i/>
          <w:sz w:val="24"/>
          <w:szCs w:val="24"/>
        </w:rPr>
        <w:t xml:space="preserve">toleranței </w:t>
      </w:r>
      <w:r w:rsidRPr="000D729C">
        <w:rPr>
          <w:rFonts w:ascii="Times New Roman" w:hAnsi="Times New Roman" w:cs="Times New Roman"/>
          <w:sz w:val="24"/>
          <w:szCs w:val="24"/>
        </w:rPr>
        <w:t>ca măsură provizorie. Aceasta se va aplica dezechilibrelor înregistrate după echilibrarea de către utilizatorii de sistem a propriilor portofolii prin intermediul platformei de echilibrare.</w:t>
      </w:r>
    </w:p>
    <w:p w14:paraId="3E805093" w14:textId="46D39DCD" w:rsidR="000E179C" w:rsidRPr="000D729C" w:rsidRDefault="000E179C" w:rsidP="006F27B5">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Aplicarea </w:t>
      </w:r>
      <w:r w:rsidR="00EE462B" w:rsidRPr="000D729C">
        <w:rPr>
          <w:rFonts w:ascii="Times New Roman" w:hAnsi="Times New Roman" w:cs="Times New Roman"/>
          <w:sz w:val="24"/>
          <w:szCs w:val="24"/>
        </w:rPr>
        <w:t>t</w:t>
      </w:r>
      <w:r w:rsidRPr="000D729C">
        <w:rPr>
          <w:rFonts w:ascii="Times New Roman" w:hAnsi="Times New Roman" w:cs="Times New Roman"/>
          <w:sz w:val="24"/>
          <w:szCs w:val="24"/>
        </w:rPr>
        <w:t xml:space="preserve">oleranței </w:t>
      </w:r>
      <w:r w:rsidR="00EE462B" w:rsidRPr="000D729C">
        <w:rPr>
          <w:rFonts w:ascii="Times New Roman" w:hAnsi="Times New Roman" w:cs="Times New Roman"/>
          <w:sz w:val="24"/>
          <w:szCs w:val="24"/>
        </w:rPr>
        <w:t xml:space="preserve">pe perioada măsurilor provizorii </w:t>
      </w:r>
      <w:r w:rsidR="003F76FE" w:rsidRPr="000D729C">
        <w:rPr>
          <w:rFonts w:ascii="Times New Roman" w:hAnsi="Times New Roman" w:cs="Times New Roman"/>
          <w:sz w:val="24"/>
          <w:szCs w:val="24"/>
        </w:rPr>
        <w:t>are drept scop</w:t>
      </w:r>
      <w:r w:rsidRPr="000D729C">
        <w:rPr>
          <w:rFonts w:ascii="Times New Roman" w:hAnsi="Times New Roman" w:cs="Times New Roman"/>
          <w:sz w:val="24"/>
          <w:szCs w:val="24"/>
        </w:rPr>
        <w:t>:</w:t>
      </w:r>
    </w:p>
    <w:p w14:paraId="5B9FE121" w14:textId="08371873" w:rsidR="000E179C" w:rsidRPr="000D729C" w:rsidRDefault="000E179C" w:rsidP="00EB6EF8">
      <w:pPr>
        <w:pStyle w:val="BodyText"/>
        <w:tabs>
          <w:tab w:val="left" w:pos="993"/>
        </w:tabs>
        <w:spacing w:line="276" w:lineRule="auto"/>
        <w:ind w:firstLine="720"/>
        <w:jc w:val="both"/>
        <w:rPr>
          <w:rFonts w:ascii="Times New Roman" w:hAnsi="Times New Roman" w:cs="Times New Roman"/>
          <w:sz w:val="24"/>
          <w:szCs w:val="24"/>
        </w:rPr>
      </w:pPr>
      <w:r w:rsidRPr="000D729C">
        <w:rPr>
          <w:rFonts w:ascii="Times New Roman" w:hAnsi="Times New Roman" w:cs="Times New Roman"/>
          <w:sz w:val="24"/>
          <w:szCs w:val="24"/>
        </w:rPr>
        <w:t>-</w:t>
      </w:r>
      <w:r w:rsidRPr="000D729C">
        <w:rPr>
          <w:rFonts w:ascii="Times New Roman" w:hAnsi="Times New Roman" w:cs="Times New Roman"/>
          <w:sz w:val="24"/>
          <w:szCs w:val="24"/>
        </w:rPr>
        <w:tab/>
      </w:r>
      <w:r w:rsidR="00500C39" w:rsidRPr="000D729C">
        <w:rPr>
          <w:rFonts w:ascii="Times New Roman" w:hAnsi="Times New Roman" w:cs="Times New Roman"/>
          <w:sz w:val="24"/>
          <w:szCs w:val="24"/>
        </w:rPr>
        <w:t>a</w:t>
      </w:r>
      <w:r w:rsidRPr="000D729C">
        <w:rPr>
          <w:rFonts w:ascii="Times New Roman" w:hAnsi="Times New Roman" w:cs="Times New Roman"/>
          <w:sz w:val="24"/>
          <w:szCs w:val="24"/>
        </w:rPr>
        <w:t>sigurarea protecției US în legătură cu utilizarea în caz de deficit sau excedent în portofoliile acestora, a prețurilor de referință de vânzare/cumpărare;</w:t>
      </w:r>
    </w:p>
    <w:p w14:paraId="1F8CA501" w14:textId="1DA4343C" w:rsidR="000E179C" w:rsidRPr="000D729C" w:rsidRDefault="000E179C" w:rsidP="00EB6EF8">
      <w:pPr>
        <w:pStyle w:val="BodyText"/>
        <w:tabs>
          <w:tab w:val="left" w:pos="993"/>
        </w:tabs>
        <w:spacing w:line="276" w:lineRule="auto"/>
        <w:ind w:firstLine="720"/>
        <w:jc w:val="both"/>
        <w:rPr>
          <w:rFonts w:ascii="Times New Roman" w:hAnsi="Times New Roman" w:cs="Times New Roman"/>
          <w:sz w:val="24"/>
          <w:szCs w:val="24"/>
        </w:rPr>
      </w:pPr>
      <w:r w:rsidRPr="000D729C">
        <w:rPr>
          <w:rFonts w:ascii="Times New Roman" w:hAnsi="Times New Roman" w:cs="Times New Roman"/>
          <w:sz w:val="24"/>
          <w:szCs w:val="24"/>
        </w:rPr>
        <w:t>-</w:t>
      </w:r>
      <w:r w:rsidRPr="000D729C">
        <w:rPr>
          <w:rFonts w:ascii="Times New Roman" w:hAnsi="Times New Roman" w:cs="Times New Roman"/>
          <w:sz w:val="24"/>
          <w:szCs w:val="24"/>
        </w:rPr>
        <w:tab/>
      </w:r>
      <w:r w:rsidR="00500C39" w:rsidRPr="000D729C">
        <w:rPr>
          <w:rFonts w:ascii="Times New Roman" w:hAnsi="Times New Roman" w:cs="Times New Roman"/>
          <w:sz w:val="24"/>
          <w:szCs w:val="24"/>
        </w:rPr>
        <w:t>m</w:t>
      </w:r>
      <w:r w:rsidRPr="000D729C">
        <w:rPr>
          <w:rFonts w:ascii="Times New Roman" w:hAnsi="Times New Roman" w:cs="Times New Roman"/>
          <w:sz w:val="24"/>
          <w:szCs w:val="24"/>
        </w:rPr>
        <w:t>otivarea/stimularea US de a-și asigura corectarea pozițiilor de dezechilibru prin utilizarea de instrumente/produse bazate pe piață;</w:t>
      </w:r>
    </w:p>
    <w:p w14:paraId="71A2CE0F" w14:textId="1CEAED1A" w:rsidR="000E179C" w:rsidRPr="000D729C" w:rsidRDefault="000E179C" w:rsidP="006F27B5">
      <w:pPr>
        <w:pStyle w:val="BodyText"/>
        <w:tabs>
          <w:tab w:val="left" w:pos="993"/>
        </w:tabs>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w:t>
      </w:r>
      <w:r w:rsidRPr="000D729C">
        <w:rPr>
          <w:rFonts w:ascii="Times New Roman" w:hAnsi="Times New Roman" w:cs="Times New Roman"/>
          <w:sz w:val="24"/>
          <w:szCs w:val="24"/>
        </w:rPr>
        <w:tab/>
      </w:r>
      <w:r w:rsidR="00500C39" w:rsidRPr="000D729C">
        <w:rPr>
          <w:rFonts w:ascii="Times New Roman" w:hAnsi="Times New Roman" w:cs="Times New Roman"/>
          <w:sz w:val="24"/>
          <w:szCs w:val="24"/>
        </w:rPr>
        <w:t>r</w:t>
      </w:r>
      <w:r w:rsidRPr="000D729C">
        <w:rPr>
          <w:rFonts w:ascii="Times New Roman" w:hAnsi="Times New Roman" w:cs="Times New Roman"/>
          <w:sz w:val="24"/>
          <w:szCs w:val="24"/>
        </w:rPr>
        <w:t xml:space="preserve">educerea gradului de expunere a US la riscuri financiare, ținând cont de prezența în portofolii a </w:t>
      </w:r>
      <w:r w:rsidR="00500C39" w:rsidRPr="000D729C">
        <w:rPr>
          <w:rFonts w:ascii="Times New Roman" w:hAnsi="Times New Roman" w:cs="Times New Roman"/>
          <w:sz w:val="24"/>
          <w:szCs w:val="24"/>
        </w:rPr>
        <w:t>consumatorilor</w:t>
      </w:r>
      <w:r w:rsidRPr="000D729C">
        <w:rPr>
          <w:rFonts w:ascii="Times New Roman" w:hAnsi="Times New Roman" w:cs="Times New Roman"/>
          <w:sz w:val="24"/>
          <w:szCs w:val="24"/>
        </w:rPr>
        <w:t xml:space="preserve"> ale căror consumuri de gaze naturale nu pot fi stabilite pe baza unor măsurători zilnice.</w:t>
      </w:r>
    </w:p>
    <w:p w14:paraId="4DA3540E" w14:textId="77777777" w:rsidR="000E179C" w:rsidRPr="000D729C" w:rsidRDefault="000E179C" w:rsidP="006F27B5">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Conform pct. 616 din Codul rețelelor, toleranțele se aplică:</w:t>
      </w:r>
    </w:p>
    <w:p w14:paraId="0DDC8264" w14:textId="7B192CF3" w:rsidR="000E179C" w:rsidRPr="000D729C" w:rsidRDefault="000E179C" w:rsidP="004A17FD">
      <w:pPr>
        <w:pStyle w:val="BodyText"/>
        <w:numPr>
          <w:ilvl w:val="3"/>
          <w:numId w:val="15"/>
        </w:numPr>
        <w:spacing w:line="276" w:lineRule="auto"/>
        <w:ind w:left="993" w:hanging="284"/>
        <w:jc w:val="both"/>
        <w:rPr>
          <w:rFonts w:ascii="Times New Roman" w:hAnsi="Times New Roman" w:cs="Times New Roman"/>
          <w:sz w:val="24"/>
          <w:szCs w:val="24"/>
        </w:rPr>
      </w:pPr>
      <w:r w:rsidRPr="000D729C">
        <w:rPr>
          <w:rFonts w:ascii="Times New Roman" w:hAnsi="Times New Roman" w:cs="Times New Roman"/>
          <w:sz w:val="24"/>
          <w:szCs w:val="24"/>
        </w:rPr>
        <w:t>numai în măsura în care sunt necesare și pe durata minimă necesară;</w:t>
      </w:r>
    </w:p>
    <w:p w14:paraId="5F82FFFB" w14:textId="0FDE5673" w:rsidR="000E179C" w:rsidRPr="000D729C" w:rsidRDefault="000E179C" w:rsidP="004A17FD">
      <w:pPr>
        <w:pStyle w:val="BodyText"/>
        <w:numPr>
          <w:ilvl w:val="3"/>
          <w:numId w:val="15"/>
        </w:numPr>
        <w:spacing w:line="276" w:lineRule="auto"/>
        <w:ind w:left="993" w:hanging="284"/>
        <w:jc w:val="both"/>
        <w:rPr>
          <w:rFonts w:ascii="Times New Roman" w:hAnsi="Times New Roman" w:cs="Times New Roman"/>
          <w:sz w:val="24"/>
          <w:szCs w:val="24"/>
        </w:rPr>
      </w:pPr>
      <w:r w:rsidRPr="000D729C">
        <w:rPr>
          <w:rFonts w:ascii="Times New Roman" w:hAnsi="Times New Roman" w:cs="Times New Roman"/>
          <w:sz w:val="24"/>
          <w:szCs w:val="24"/>
        </w:rPr>
        <w:t>cu privire la cantitatea de dezechilibru zilnic a utilizatorilor de sistem;</w:t>
      </w:r>
    </w:p>
    <w:p w14:paraId="3FA32F3A" w14:textId="5FA72A1B" w:rsidR="000E179C" w:rsidRPr="000D729C" w:rsidRDefault="000E179C" w:rsidP="004A17FD">
      <w:pPr>
        <w:pStyle w:val="BodyText"/>
        <w:numPr>
          <w:ilvl w:val="3"/>
          <w:numId w:val="15"/>
        </w:numPr>
        <w:spacing w:line="276" w:lineRule="auto"/>
        <w:ind w:left="993" w:hanging="284"/>
        <w:jc w:val="both"/>
        <w:rPr>
          <w:rFonts w:ascii="Times New Roman" w:hAnsi="Times New Roman" w:cs="Times New Roman"/>
          <w:sz w:val="24"/>
          <w:szCs w:val="24"/>
        </w:rPr>
      </w:pPr>
      <w:r w:rsidRPr="000D729C">
        <w:rPr>
          <w:rFonts w:ascii="Times New Roman" w:hAnsi="Times New Roman" w:cs="Times New Roman"/>
          <w:sz w:val="24"/>
          <w:szCs w:val="24"/>
        </w:rPr>
        <w:t>pe bază transparentă și nediscriminatorie.</w:t>
      </w:r>
    </w:p>
    <w:p w14:paraId="276B78A5" w14:textId="14FEF229" w:rsidR="000E179C" w:rsidRPr="000D729C" w:rsidRDefault="00EE462B" w:rsidP="006F27B5">
      <w:pPr>
        <w:pBdr>
          <w:top w:val="nil"/>
          <w:left w:val="nil"/>
          <w:bottom w:val="nil"/>
          <w:right w:val="nil"/>
          <w:between w:val="nil"/>
        </w:pBdr>
        <w:tabs>
          <w:tab w:val="left" w:pos="993"/>
        </w:tabs>
        <w:spacing w:before="120"/>
        <w:ind w:firstLine="567"/>
        <w:contextualSpacing/>
        <w:jc w:val="both"/>
        <w:rPr>
          <w:rFonts w:ascii="Times New Roman" w:eastAsia="Times New Roman" w:hAnsi="Times New Roman" w:cs="Times New Roman"/>
          <w:iCs/>
          <w:sz w:val="24"/>
          <w:szCs w:val="24"/>
        </w:rPr>
      </w:pPr>
      <w:r w:rsidRPr="000D729C">
        <w:rPr>
          <w:rFonts w:ascii="Times New Roman" w:eastAsia="Times New Roman" w:hAnsi="Times New Roman" w:cs="Times New Roman"/>
          <w:iCs/>
          <w:sz w:val="24"/>
          <w:szCs w:val="24"/>
        </w:rPr>
        <w:lastRenderedPageBreak/>
        <w:t xml:space="preserve">La </w:t>
      </w:r>
      <w:r w:rsidR="000E179C" w:rsidRPr="000D729C">
        <w:rPr>
          <w:rFonts w:ascii="Times New Roman" w:eastAsia="Times New Roman" w:hAnsi="Times New Roman" w:cs="Times New Roman"/>
          <w:iCs/>
          <w:sz w:val="24"/>
          <w:szCs w:val="24"/>
        </w:rPr>
        <w:t>determinarea nivelului de toleranță, au fost analizate dezechilibrele utilizatorilor de sistem înregistrate în perioada ianuarie 2025 – septembrie 2025, după cum urmează:</w:t>
      </w:r>
    </w:p>
    <w:tbl>
      <w:tblPr>
        <w:tblStyle w:val="TableGrid"/>
        <w:tblW w:w="0" w:type="auto"/>
        <w:tblInd w:w="108" w:type="dxa"/>
        <w:tblLook w:val="04A0" w:firstRow="1" w:lastRow="0" w:firstColumn="1" w:lastColumn="0" w:noHBand="0" w:noVBand="1"/>
      </w:tblPr>
      <w:tblGrid>
        <w:gridCol w:w="1666"/>
        <w:gridCol w:w="1958"/>
        <w:gridCol w:w="1958"/>
        <w:gridCol w:w="1958"/>
        <w:gridCol w:w="1958"/>
      </w:tblGrid>
      <w:tr w:rsidR="006F27B5" w:rsidRPr="000D729C" w14:paraId="44F3DE8B" w14:textId="77777777" w:rsidTr="00251A69">
        <w:tc>
          <w:tcPr>
            <w:tcW w:w="1666" w:type="dxa"/>
            <w:vMerge w:val="restart"/>
            <w:vAlign w:val="center"/>
          </w:tcPr>
          <w:p w14:paraId="61001719" w14:textId="77777777" w:rsidR="006F27B5" w:rsidRPr="000D729C" w:rsidRDefault="006F27B5">
            <w:pPr>
              <w:tabs>
                <w:tab w:val="left" w:pos="993"/>
              </w:tabs>
              <w:contextualSpacing/>
              <w:jc w:val="center"/>
              <w:rPr>
                <w:rFonts w:ascii="Times New Roman" w:eastAsia="Times New Roman" w:hAnsi="Times New Roman" w:cs="Times New Roman"/>
                <w:b/>
                <w:iCs/>
                <w:sz w:val="24"/>
                <w:szCs w:val="24"/>
                <w:lang w:val="ro-RO"/>
              </w:rPr>
            </w:pPr>
            <w:r w:rsidRPr="000D729C">
              <w:rPr>
                <w:rFonts w:ascii="Times New Roman" w:eastAsia="Times New Roman" w:hAnsi="Times New Roman" w:cs="Times New Roman"/>
                <w:b/>
                <w:iCs/>
                <w:sz w:val="24"/>
                <w:szCs w:val="24"/>
                <w:lang w:val="ro-RO"/>
              </w:rPr>
              <w:t>Perioada</w:t>
            </w:r>
          </w:p>
        </w:tc>
        <w:tc>
          <w:tcPr>
            <w:tcW w:w="3916" w:type="dxa"/>
            <w:gridSpan w:val="2"/>
            <w:vAlign w:val="center"/>
          </w:tcPr>
          <w:p w14:paraId="5B830D05" w14:textId="77777777" w:rsidR="006F27B5" w:rsidRPr="000D729C" w:rsidRDefault="006F27B5">
            <w:pPr>
              <w:tabs>
                <w:tab w:val="left" w:pos="993"/>
              </w:tabs>
              <w:contextualSpacing/>
              <w:jc w:val="center"/>
              <w:rPr>
                <w:rFonts w:ascii="Times New Roman" w:eastAsia="Times New Roman" w:hAnsi="Times New Roman" w:cs="Times New Roman"/>
                <w:b/>
                <w:bCs/>
                <w:iCs/>
                <w:sz w:val="24"/>
                <w:szCs w:val="24"/>
                <w:lang w:val="ro-RO"/>
              </w:rPr>
            </w:pPr>
            <w:r w:rsidRPr="000D729C">
              <w:rPr>
                <w:rFonts w:ascii="Times New Roman" w:eastAsia="Times New Roman" w:hAnsi="Times New Roman" w:cs="Times New Roman"/>
                <w:b/>
                <w:bCs/>
                <w:iCs/>
                <w:sz w:val="24"/>
                <w:szCs w:val="24"/>
                <w:lang w:val="ro-RO"/>
              </w:rPr>
              <w:t>Dezechilibrele US în limita toleranței (mii m</w:t>
            </w:r>
            <w:r w:rsidRPr="000D729C">
              <w:rPr>
                <w:rFonts w:ascii="Times New Roman" w:eastAsia="Times New Roman" w:hAnsi="Times New Roman" w:cs="Times New Roman"/>
                <w:b/>
                <w:bCs/>
                <w:iCs/>
                <w:sz w:val="24"/>
                <w:szCs w:val="24"/>
                <w:vertAlign w:val="superscript"/>
                <w:lang w:val="ro-RO"/>
              </w:rPr>
              <w:t>3</w:t>
            </w:r>
            <w:r w:rsidRPr="000D729C">
              <w:rPr>
                <w:rFonts w:ascii="Times New Roman" w:eastAsia="Times New Roman" w:hAnsi="Times New Roman" w:cs="Times New Roman"/>
                <w:b/>
                <w:bCs/>
                <w:iCs/>
                <w:sz w:val="24"/>
                <w:szCs w:val="24"/>
                <w:lang w:val="ro-RO"/>
              </w:rPr>
              <w:t>)</w:t>
            </w:r>
          </w:p>
        </w:tc>
        <w:tc>
          <w:tcPr>
            <w:tcW w:w="3916" w:type="dxa"/>
            <w:gridSpan w:val="2"/>
            <w:vAlign w:val="center"/>
          </w:tcPr>
          <w:p w14:paraId="4D976B15" w14:textId="77777777" w:rsidR="006F27B5" w:rsidRPr="000D729C" w:rsidRDefault="006F27B5">
            <w:pPr>
              <w:tabs>
                <w:tab w:val="left" w:pos="993"/>
              </w:tabs>
              <w:contextualSpacing/>
              <w:jc w:val="center"/>
              <w:rPr>
                <w:rFonts w:ascii="Times New Roman" w:eastAsia="Times New Roman" w:hAnsi="Times New Roman" w:cs="Times New Roman"/>
                <w:b/>
                <w:bCs/>
                <w:iCs/>
                <w:sz w:val="24"/>
                <w:szCs w:val="24"/>
                <w:lang w:val="ro-RO"/>
              </w:rPr>
            </w:pPr>
            <w:r w:rsidRPr="000D729C">
              <w:rPr>
                <w:rFonts w:ascii="Times New Roman" w:eastAsia="Times New Roman" w:hAnsi="Times New Roman" w:cs="Times New Roman"/>
                <w:b/>
                <w:bCs/>
                <w:iCs/>
                <w:sz w:val="24"/>
                <w:szCs w:val="24"/>
                <w:lang w:val="ro-RO"/>
              </w:rPr>
              <w:t>Dezechilibrele US care depășesc limita toleranței (mii m</w:t>
            </w:r>
            <w:r w:rsidRPr="000D729C">
              <w:rPr>
                <w:rFonts w:ascii="Times New Roman" w:eastAsia="Times New Roman" w:hAnsi="Times New Roman" w:cs="Times New Roman"/>
                <w:b/>
                <w:bCs/>
                <w:iCs/>
                <w:sz w:val="24"/>
                <w:szCs w:val="24"/>
                <w:vertAlign w:val="superscript"/>
                <w:lang w:val="ro-RO"/>
              </w:rPr>
              <w:t>3</w:t>
            </w:r>
            <w:r w:rsidRPr="000D729C">
              <w:rPr>
                <w:rFonts w:ascii="Times New Roman" w:eastAsia="Times New Roman" w:hAnsi="Times New Roman" w:cs="Times New Roman"/>
                <w:b/>
                <w:bCs/>
                <w:iCs/>
                <w:sz w:val="24"/>
                <w:szCs w:val="24"/>
                <w:lang w:val="ro-RO"/>
              </w:rPr>
              <w:t>)</w:t>
            </w:r>
          </w:p>
        </w:tc>
      </w:tr>
      <w:tr w:rsidR="006F27B5" w:rsidRPr="000D729C" w14:paraId="2748E20F" w14:textId="77777777" w:rsidTr="00251A69">
        <w:trPr>
          <w:trHeight w:val="302"/>
        </w:trPr>
        <w:tc>
          <w:tcPr>
            <w:tcW w:w="1666" w:type="dxa"/>
            <w:vMerge/>
            <w:vAlign w:val="center"/>
          </w:tcPr>
          <w:p w14:paraId="5AAD5323" w14:textId="77777777" w:rsidR="006F27B5" w:rsidRPr="000D729C" w:rsidRDefault="006F27B5">
            <w:pPr>
              <w:tabs>
                <w:tab w:val="left" w:pos="993"/>
              </w:tabs>
              <w:contextualSpacing/>
              <w:jc w:val="center"/>
              <w:rPr>
                <w:rFonts w:ascii="Times New Roman" w:eastAsia="Times New Roman" w:hAnsi="Times New Roman" w:cs="Times New Roman"/>
                <w:iCs/>
                <w:sz w:val="24"/>
                <w:szCs w:val="24"/>
                <w:lang w:val="ro-RO"/>
              </w:rPr>
            </w:pPr>
          </w:p>
        </w:tc>
        <w:tc>
          <w:tcPr>
            <w:tcW w:w="1958" w:type="dxa"/>
            <w:vAlign w:val="center"/>
          </w:tcPr>
          <w:p w14:paraId="34F2A426" w14:textId="469CA06E" w:rsidR="006F27B5" w:rsidRPr="000D729C" w:rsidRDefault="006F27B5">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excedent</w:t>
            </w:r>
          </w:p>
        </w:tc>
        <w:tc>
          <w:tcPr>
            <w:tcW w:w="1958" w:type="dxa"/>
            <w:vAlign w:val="center"/>
          </w:tcPr>
          <w:p w14:paraId="40774D01" w14:textId="01C3677E" w:rsidR="006F27B5" w:rsidRPr="000D729C" w:rsidRDefault="006F27B5">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deficit</w:t>
            </w:r>
          </w:p>
        </w:tc>
        <w:tc>
          <w:tcPr>
            <w:tcW w:w="1958" w:type="dxa"/>
            <w:vAlign w:val="center"/>
          </w:tcPr>
          <w:p w14:paraId="02A8222D" w14:textId="406603D9" w:rsidR="006F27B5" w:rsidRPr="000D729C" w:rsidRDefault="006F27B5">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excedent</w:t>
            </w:r>
          </w:p>
        </w:tc>
        <w:tc>
          <w:tcPr>
            <w:tcW w:w="1958" w:type="dxa"/>
            <w:vAlign w:val="center"/>
          </w:tcPr>
          <w:p w14:paraId="6A4D01BF" w14:textId="24AE62B8" w:rsidR="006F27B5" w:rsidRPr="000D729C" w:rsidRDefault="006F27B5">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deficit</w:t>
            </w:r>
          </w:p>
        </w:tc>
      </w:tr>
      <w:tr w:rsidR="000E179C" w:rsidRPr="000D729C" w14:paraId="3CF38EFD" w14:textId="77777777" w:rsidTr="00251A69">
        <w:tc>
          <w:tcPr>
            <w:tcW w:w="1666" w:type="dxa"/>
          </w:tcPr>
          <w:p w14:paraId="3215104C"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bookmarkStart w:id="10" w:name="_Hlk213161181"/>
            <w:r w:rsidRPr="000D729C">
              <w:rPr>
                <w:rFonts w:ascii="Times New Roman" w:eastAsia="Times New Roman" w:hAnsi="Times New Roman" w:cs="Times New Roman"/>
                <w:iCs/>
                <w:sz w:val="24"/>
                <w:szCs w:val="24"/>
                <w:lang w:val="ro-RO"/>
              </w:rPr>
              <w:t>Ianuarie</w:t>
            </w:r>
          </w:p>
        </w:tc>
        <w:tc>
          <w:tcPr>
            <w:tcW w:w="1958" w:type="dxa"/>
            <w:vAlign w:val="center"/>
          </w:tcPr>
          <w:p w14:paraId="6D1F0BF3" w14:textId="77777777" w:rsidR="000E179C" w:rsidRPr="000D729C" w:rsidRDefault="000E179C" w:rsidP="00EE462B">
            <w:pPr>
              <w:jc w:val="center"/>
              <w:rPr>
                <w:rFonts w:ascii="Times New Roman" w:hAnsi="Times New Roman" w:cs="Times New Roman"/>
                <w:lang w:val="ro-RO"/>
                <w14:ligatures w14:val="none"/>
              </w:rPr>
            </w:pPr>
            <w:r w:rsidRPr="000D729C">
              <w:rPr>
                <w:rFonts w:ascii="Times New Roman" w:hAnsi="Times New Roman" w:cs="Times New Roman"/>
                <w:lang w:val="ro-RO"/>
              </w:rPr>
              <w:t>382,391</w:t>
            </w:r>
          </w:p>
        </w:tc>
        <w:tc>
          <w:tcPr>
            <w:tcW w:w="1958" w:type="dxa"/>
            <w:vAlign w:val="center"/>
          </w:tcPr>
          <w:p w14:paraId="5B1A4909" w14:textId="77777777" w:rsidR="000E179C" w:rsidRPr="000D729C" w:rsidRDefault="000E179C" w:rsidP="00EE462B">
            <w:pPr>
              <w:jc w:val="center"/>
              <w:rPr>
                <w:rFonts w:ascii="Times New Roman" w:hAnsi="Times New Roman" w:cs="Times New Roman"/>
                <w:lang w:val="ro-RO"/>
                <w14:ligatures w14:val="none"/>
              </w:rPr>
            </w:pPr>
            <w:r w:rsidRPr="000D729C">
              <w:rPr>
                <w:rFonts w:ascii="Times New Roman" w:hAnsi="Times New Roman" w:cs="Times New Roman"/>
                <w:lang w:val="ro-RO"/>
              </w:rPr>
              <w:t>-8,972</w:t>
            </w:r>
          </w:p>
        </w:tc>
        <w:tc>
          <w:tcPr>
            <w:tcW w:w="1958" w:type="dxa"/>
            <w:vAlign w:val="center"/>
          </w:tcPr>
          <w:p w14:paraId="1A70BD82"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2,955</w:t>
            </w:r>
          </w:p>
        </w:tc>
        <w:tc>
          <w:tcPr>
            <w:tcW w:w="1958" w:type="dxa"/>
            <w:vAlign w:val="center"/>
          </w:tcPr>
          <w:p w14:paraId="7222D288"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-34,402</w:t>
            </w:r>
          </w:p>
        </w:tc>
      </w:tr>
      <w:bookmarkEnd w:id="10"/>
      <w:tr w:rsidR="000E179C" w:rsidRPr="000D729C" w14:paraId="32891276" w14:textId="77777777" w:rsidTr="00251A69">
        <w:tc>
          <w:tcPr>
            <w:tcW w:w="1666" w:type="dxa"/>
          </w:tcPr>
          <w:p w14:paraId="66C142D2"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Februarie</w:t>
            </w:r>
          </w:p>
        </w:tc>
        <w:tc>
          <w:tcPr>
            <w:tcW w:w="1958" w:type="dxa"/>
            <w:vAlign w:val="center"/>
          </w:tcPr>
          <w:p w14:paraId="1F2D53FF"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9,618</w:t>
            </w:r>
          </w:p>
        </w:tc>
        <w:tc>
          <w:tcPr>
            <w:tcW w:w="1958" w:type="dxa"/>
            <w:vAlign w:val="center"/>
          </w:tcPr>
          <w:p w14:paraId="28FC3215"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-29,668</w:t>
            </w:r>
          </w:p>
        </w:tc>
        <w:tc>
          <w:tcPr>
            <w:tcW w:w="1958" w:type="dxa"/>
            <w:vAlign w:val="center"/>
          </w:tcPr>
          <w:p w14:paraId="6E1A1E4D"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22,588</w:t>
            </w:r>
          </w:p>
        </w:tc>
        <w:tc>
          <w:tcPr>
            <w:tcW w:w="1958" w:type="dxa"/>
            <w:vAlign w:val="center"/>
          </w:tcPr>
          <w:p w14:paraId="7B096588"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-132,903</w:t>
            </w:r>
          </w:p>
        </w:tc>
      </w:tr>
      <w:tr w:rsidR="000E179C" w:rsidRPr="000D729C" w14:paraId="47A31BD2" w14:textId="77777777" w:rsidTr="00251A69">
        <w:tc>
          <w:tcPr>
            <w:tcW w:w="1666" w:type="dxa"/>
          </w:tcPr>
          <w:p w14:paraId="4F95FCAD"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Martie</w:t>
            </w:r>
          </w:p>
        </w:tc>
        <w:tc>
          <w:tcPr>
            <w:tcW w:w="1958" w:type="dxa"/>
            <w:vAlign w:val="center"/>
          </w:tcPr>
          <w:p w14:paraId="480B6173"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53,411</w:t>
            </w:r>
          </w:p>
        </w:tc>
        <w:tc>
          <w:tcPr>
            <w:tcW w:w="1958" w:type="dxa"/>
            <w:vAlign w:val="center"/>
          </w:tcPr>
          <w:p w14:paraId="77A64221"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-3,126</w:t>
            </w:r>
          </w:p>
        </w:tc>
        <w:tc>
          <w:tcPr>
            <w:tcW w:w="1958" w:type="dxa"/>
            <w:vAlign w:val="center"/>
          </w:tcPr>
          <w:p w14:paraId="4043E586"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588,343</w:t>
            </w:r>
          </w:p>
        </w:tc>
        <w:tc>
          <w:tcPr>
            <w:tcW w:w="1958" w:type="dxa"/>
            <w:vAlign w:val="center"/>
          </w:tcPr>
          <w:p w14:paraId="07C91123"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-92</w:t>
            </w:r>
          </w:p>
        </w:tc>
      </w:tr>
      <w:tr w:rsidR="000E179C" w:rsidRPr="000D729C" w14:paraId="51E81D14" w14:textId="77777777" w:rsidTr="00251A69">
        <w:tc>
          <w:tcPr>
            <w:tcW w:w="1666" w:type="dxa"/>
          </w:tcPr>
          <w:p w14:paraId="576F124B"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Aprilie</w:t>
            </w:r>
          </w:p>
        </w:tc>
        <w:tc>
          <w:tcPr>
            <w:tcW w:w="1958" w:type="dxa"/>
            <w:vAlign w:val="center"/>
          </w:tcPr>
          <w:p w14:paraId="5B1D9A44"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45,486</w:t>
            </w:r>
          </w:p>
        </w:tc>
        <w:tc>
          <w:tcPr>
            <w:tcW w:w="1958" w:type="dxa"/>
            <w:vAlign w:val="center"/>
          </w:tcPr>
          <w:p w14:paraId="19B4066F"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-22,211</w:t>
            </w:r>
          </w:p>
        </w:tc>
        <w:tc>
          <w:tcPr>
            <w:tcW w:w="1958" w:type="dxa"/>
            <w:vAlign w:val="center"/>
          </w:tcPr>
          <w:p w14:paraId="2A67A119"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129,947</w:t>
            </w:r>
          </w:p>
        </w:tc>
        <w:tc>
          <w:tcPr>
            <w:tcW w:w="1958" w:type="dxa"/>
            <w:vAlign w:val="center"/>
          </w:tcPr>
          <w:p w14:paraId="649C0E94"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-9,708</w:t>
            </w:r>
          </w:p>
        </w:tc>
      </w:tr>
      <w:tr w:rsidR="000E179C" w:rsidRPr="000D729C" w14:paraId="4B819B4D" w14:textId="77777777" w:rsidTr="00251A69">
        <w:tc>
          <w:tcPr>
            <w:tcW w:w="1666" w:type="dxa"/>
          </w:tcPr>
          <w:p w14:paraId="50B075E3"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 xml:space="preserve">Mai </w:t>
            </w:r>
          </w:p>
        </w:tc>
        <w:tc>
          <w:tcPr>
            <w:tcW w:w="1958" w:type="dxa"/>
            <w:vAlign w:val="center"/>
          </w:tcPr>
          <w:p w14:paraId="1CA75557"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804</w:t>
            </w:r>
          </w:p>
        </w:tc>
        <w:tc>
          <w:tcPr>
            <w:tcW w:w="1958" w:type="dxa"/>
            <w:vAlign w:val="center"/>
          </w:tcPr>
          <w:p w14:paraId="5A81B635"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-3,814</w:t>
            </w:r>
          </w:p>
        </w:tc>
        <w:tc>
          <w:tcPr>
            <w:tcW w:w="1958" w:type="dxa"/>
            <w:vAlign w:val="center"/>
          </w:tcPr>
          <w:p w14:paraId="3D37F3A9" w14:textId="77777777" w:rsidR="000E179C" w:rsidRPr="000D729C" w:rsidRDefault="000E179C" w:rsidP="00EE462B">
            <w:pPr>
              <w:tabs>
                <w:tab w:val="left" w:pos="993"/>
              </w:tabs>
              <w:contextualSpacing/>
              <w:jc w:val="center"/>
              <w:rPr>
                <w:rFonts w:ascii="Times New Roman" w:hAnsi="Times New Roman" w:cs="Times New Roman"/>
                <w:lang w:val="ro-RO"/>
              </w:rPr>
            </w:pPr>
            <w:r w:rsidRPr="000D729C">
              <w:rPr>
                <w:rFonts w:ascii="Times New Roman" w:hAnsi="Times New Roman" w:cs="Times New Roman"/>
                <w:lang w:val="ro-RO"/>
              </w:rPr>
              <w:t>0</w:t>
            </w:r>
          </w:p>
        </w:tc>
        <w:tc>
          <w:tcPr>
            <w:tcW w:w="1958" w:type="dxa"/>
            <w:vAlign w:val="center"/>
          </w:tcPr>
          <w:p w14:paraId="268B5D28"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-16</w:t>
            </w:r>
          </w:p>
        </w:tc>
      </w:tr>
      <w:tr w:rsidR="000E179C" w:rsidRPr="000D729C" w14:paraId="7768EDC0" w14:textId="77777777" w:rsidTr="00251A69">
        <w:tc>
          <w:tcPr>
            <w:tcW w:w="1666" w:type="dxa"/>
          </w:tcPr>
          <w:p w14:paraId="462FB5A9"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Iunie</w:t>
            </w:r>
          </w:p>
        </w:tc>
        <w:tc>
          <w:tcPr>
            <w:tcW w:w="1958" w:type="dxa"/>
            <w:vAlign w:val="center"/>
          </w:tcPr>
          <w:p w14:paraId="2F58E252"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1,163</w:t>
            </w:r>
          </w:p>
        </w:tc>
        <w:tc>
          <w:tcPr>
            <w:tcW w:w="1958" w:type="dxa"/>
            <w:vAlign w:val="center"/>
          </w:tcPr>
          <w:p w14:paraId="7FEF3A07"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-5,781</w:t>
            </w:r>
          </w:p>
        </w:tc>
        <w:tc>
          <w:tcPr>
            <w:tcW w:w="1958" w:type="dxa"/>
            <w:vAlign w:val="center"/>
          </w:tcPr>
          <w:p w14:paraId="1792215F"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0</w:t>
            </w:r>
          </w:p>
        </w:tc>
        <w:tc>
          <w:tcPr>
            <w:tcW w:w="1958" w:type="dxa"/>
            <w:vAlign w:val="center"/>
          </w:tcPr>
          <w:p w14:paraId="5C16F2AE"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-8,339</w:t>
            </w:r>
          </w:p>
        </w:tc>
      </w:tr>
      <w:tr w:rsidR="000E179C" w:rsidRPr="000D729C" w14:paraId="4DBBDEAF" w14:textId="77777777" w:rsidTr="00251A69">
        <w:tc>
          <w:tcPr>
            <w:tcW w:w="1666" w:type="dxa"/>
          </w:tcPr>
          <w:p w14:paraId="0F75D836"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Iulie</w:t>
            </w:r>
          </w:p>
        </w:tc>
        <w:tc>
          <w:tcPr>
            <w:tcW w:w="1958" w:type="dxa"/>
            <w:vAlign w:val="center"/>
          </w:tcPr>
          <w:p w14:paraId="36F45407"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1,795</w:t>
            </w:r>
          </w:p>
        </w:tc>
        <w:tc>
          <w:tcPr>
            <w:tcW w:w="1958" w:type="dxa"/>
            <w:vAlign w:val="center"/>
          </w:tcPr>
          <w:p w14:paraId="56486429"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-4,949</w:t>
            </w:r>
          </w:p>
        </w:tc>
        <w:tc>
          <w:tcPr>
            <w:tcW w:w="1958" w:type="dxa"/>
            <w:vAlign w:val="center"/>
          </w:tcPr>
          <w:p w14:paraId="32376E02"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0</w:t>
            </w:r>
          </w:p>
        </w:tc>
        <w:tc>
          <w:tcPr>
            <w:tcW w:w="1958" w:type="dxa"/>
            <w:vAlign w:val="center"/>
          </w:tcPr>
          <w:p w14:paraId="138418E6"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-12</w:t>
            </w:r>
          </w:p>
        </w:tc>
      </w:tr>
      <w:tr w:rsidR="000E179C" w:rsidRPr="000D729C" w14:paraId="5C172B11" w14:textId="77777777" w:rsidTr="00251A69">
        <w:tc>
          <w:tcPr>
            <w:tcW w:w="1666" w:type="dxa"/>
          </w:tcPr>
          <w:p w14:paraId="3B5AC314"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August</w:t>
            </w:r>
          </w:p>
        </w:tc>
        <w:tc>
          <w:tcPr>
            <w:tcW w:w="1958" w:type="dxa"/>
            <w:vAlign w:val="center"/>
          </w:tcPr>
          <w:p w14:paraId="23FAB880"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106,356</w:t>
            </w:r>
          </w:p>
        </w:tc>
        <w:tc>
          <w:tcPr>
            <w:tcW w:w="1958" w:type="dxa"/>
            <w:vAlign w:val="center"/>
          </w:tcPr>
          <w:p w14:paraId="6484BEFE"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-29,993</w:t>
            </w:r>
          </w:p>
        </w:tc>
        <w:tc>
          <w:tcPr>
            <w:tcW w:w="1958" w:type="dxa"/>
            <w:vAlign w:val="center"/>
          </w:tcPr>
          <w:p w14:paraId="53A014D4"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0</w:t>
            </w:r>
          </w:p>
        </w:tc>
        <w:tc>
          <w:tcPr>
            <w:tcW w:w="1958" w:type="dxa"/>
            <w:vAlign w:val="center"/>
          </w:tcPr>
          <w:p w14:paraId="3F4BDAD6"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-21,264</w:t>
            </w:r>
          </w:p>
        </w:tc>
      </w:tr>
      <w:tr w:rsidR="000E179C" w:rsidRPr="000D729C" w14:paraId="1A6A67CE" w14:textId="77777777" w:rsidTr="00251A69">
        <w:tc>
          <w:tcPr>
            <w:tcW w:w="1666" w:type="dxa"/>
          </w:tcPr>
          <w:p w14:paraId="7FDC1785" w14:textId="77777777" w:rsidR="000E179C" w:rsidRPr="000D729C" w:rsidRDefault="000E179C" w:rsidP="00EE462B">
            <w:pPr>
              <w:tabs>
                <w:tab w:val="left" w:pos="993"/>
              </w:tabs>
              <w:contextualSpacing/>
              <w:jc w:val="both"/>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Septembrie</w:t>
            </w:r>
          </w:p>
        </w:tc>
        <w:tc>
          <w:tcPr>
            <w:tcW w:w="1958" w:type="dxa"/>
            <w:vAlign w:val="center"/>
          </w:tcPr>
          <w:p w14:paraId="397F3C2F"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28,240</w:t>
            </w:r>
          </w:p>
        </w:tc>
        <w:tc>
          <w:tcPr>
            <w:tcW w:w="1958" w:type="dxa"/>
            <w:vAlign w:val="center"/>
          </w:tcPr>
          <w:p w14:paraId="61349C15"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-50,512</w:t>
            </w:r>
          </w:p>
        </w:tc>
        <w:tc>
          <w:tcPr>
            <w:tcW w:w="1958" w:type="dxa"/>
            <w:vAlign w:val="center"/>
          </w:tcPr>
          <w:p w14:paraId="3A54B6A2"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6,313</w:t>
            </w:r>
          </w:p>
        </w:tc>
        <w:tc>
          <w:tcPr>
            <w:tcW w:w="1958" w:type="dxa"/>
            <w:vAlign w:val="center"/>
          </w:tcPr>
          <w:p w14:paraId="5EEF38FF" w14:textId="77777777" w:rsidR="000E179C" w:rsidRPr="000D729C" w:rsidRDefault="000E179C" w:rsidP="00EE462B">
            <w:pPr>
              <w:tabs>
                <w:tab w:val="left" w:pos="993"/>
              </w:tabs>
              <w:contextualSpacing/>
              <w:jc w:val="center"/>
              <w:rPr>
                <w:rFonts w:ascii="Times New Roman" w:eastAsia="Times New Roman" w:hAnsi="Times New Roman" w:cs="Times New Roman"/>
                <w:i/>
                <w:lang w:val="ro-RO"/>
              </w:rPr>
            </w:pPr>
            <w:r w:rsidRPr="000D729C">
              <w:rPr>
                <w:rFonts w:ascii="Times New Roman" w:hAnsi="Times New Roman" w:cs="Times New Roman"/>
                <w:lang w:val="ro-RO"/>
              </w:rPr>
              <w:t>-139,696</w:t>
            </w:r>
          </w:p>
        </w:tc>
      </w:tr>
    </w:tbl>
    <w:p w14:paraId="7F1D0327" w14:textId="77777777" w:rsidR="000E179C" w:rsidRPr="000D729C" w:rsidRDefault="000E179C" w:rsidP="000E179C">
      <w:pPr>
        <w:pBdr>
          <w:top w:val="nil"/>
          <w:left w:val="nil"/>
          <w:bottom w:val="nil"/>
          <w:right w:val="nil"/>
          <w:between w:val="nil"/>
        </w:pBdr>
        <w:tabs>
          <w:tab w:val="left" w:pos="993"/>
        </w:tabs>
        <w:ind w:firstLine="709"/>
        <w:contextualSpacing/>
        <w:jc w:val="both"/>
        <w:rPr>
          <w:rFonts w:ascii="Times New Roman" w:eastAsia="Times New Roman" w:hAnsi="Times New Roman" w:cs="Times New Roman"/>
          <w:i/>
          <w:sz w:val="24"/>
          <w:szCs w:val="24"/>
        </w:rPr>
      </w:pPr>
    </w:p>
    <w:p w14:paraId="170EEDA6" w14:textId="4699B75D" w:rsidR="000E179C" w:rsidRPr="000D729C" w:rsidRDefault="000E179C" w:rsidP="00EE462B">
      <w:pPr>
        <w:pBdr>
          <w:top w:val="nil"/>
          <w:left w:val="nil"/>
          <w:bottom w:val="nil"/>
          <w:right w:val="nil"/>
          <w:between w:val="nil"/>
        </w:pBdr>
        <w:tabs>
          <w:tab w:val="left" w:pos="993"/>
        </w:tabs>
        <w:spacing w:after="120"/>
        <w:ind w:firstLine="567"/>
        <w:jc w:val="both"/>
        <w:rPr>
          <w:rFonts w:ascii="Times New Roman" w:eastAsia="Times New Roman" w:hAnsi="Times New Roman" w:cs="Times New Roman"/>
          <w:iCs/>
          <w:sz w:val="24"/>
          <w:szCs w:val="24"/>
        </w:rPr>
      </w:pPr>
      <w:r w:rsidRPr="000D729C">
        <w:rPr>
          <w:rFonts w:ascii="Times New Roman" w:eastAsia="Times New Roman" w:hAnsi="Times New Roman" w:cs="Times New Roman"/>
          <w:iCs/>
          <w:sz w:val="24"/>
          <w:szCs w:val="24"/>
        </w:rPr>
        <w:t>Din datele prezentate mai sus și ținând cont că toleranțele se aplică numai în măsura în care sunt necesare și pe durata minimă definită, în conformitate cu art. 159 din Regulile pieței, nivelul de toleranță zilnic va fi aplicat</w:t>
      </w:r>
      <w:r w:rsidR="00EE462B" w:rsidRPr="000D729C">
        <w:rPr>
          <w:rFonts w:ascii="Times New Roman" w:eastAsia="Times New Roman" w:hAnsi="Times New Roman" w:cs="Times New Roman"/>
          <w:iCs/>
          <w:sz w:val="24"/>
          <w:szCs w:val="24"/>
        </w:rPr>
        <w:t>,</w:t>
      </w:r>
      <w:r w:rsidRPr="000D729C">
        <w:rPr>
          <w:rFonts w:ascii="Times New Roman" w:eastAsia="Times New Roman" w:hAnsi="Times New Roman" w:cs="Times New Roman"/>
          <w:iCs/>
          <w:sz w:val="24"/>
          <w:szCs w:val="24"/>
        </w:rPr>
        <w:t xml:space="preserve"> respectând următorul grafic:</w:t>
      </w:r>
    </w:p>
    <w:tbl>
      <w:tblPr>
        <w:tblStyle w:val="TableGrid"/>
        <w:tblW w:w="0" w:type="auto"/>
        <w:jc w:val="center"/>
        <w:tblLook w:val="04A0" w:firstRow="1" w:lastRow="0" w:firstColumn="1" w:lastColumn="0" w:noHBand="0" w:noVBand="1"/>
      </w:tblPr>
      <w:tblGrid>
        <w:gridCol w:w="4674"/>
        <w:gridCol w:w="4675"/>
      </w:tblGrid>
      <w:tr w:rsidR="000E179C" w:rsidRPr="000D729C" w14:paraId="67EBEBCA" w14:textId="77777777" w:rsidTr="00251A69">
        <w:trPr>
          <w:jc w:val="center"/>
        </w:trPr>
        <w:tc>
          <w:tcPr>
            <w:tcW w:w="4674" w:type="dxa"/>
            <w:vAlign w:val="center"/>
          </w:tcPr>
          <w:p w14:paraId="32BFC429" w14:textId="77777777" w:rsidR="000E179C" w:rsidRPr="000D729C" w:rsidRDefault="000E179C" w:rsidP="00EE462B">
            <w:pPr>
              <w:tabs>
                <w:tab w:val="left" w:pos="993"/>
              </w:tabs>
              <w:contextualSpacing/>
              <w:jc w:val="center"/>
              <w:rPr>
                <w:rFonts w:ascii="Times New Roman" w:eastAsia="Times New Roman" w:hAnsi="Times New Roman" w:cs="Times New Roman"/>
                <w:b/>
                <w:bCs/>
                <w:iCs/>
                <w:sz w:val="24"/>
                <w:szCs w:val="24"/>
                <w:lang w:val="ro-RO"/>
              </w:rPr>
            </w:pPr>
            <w:r w:rsidRPr="000D729C">
              <w:rPr>
                <w:rFonts w:ascii="Times New Roman" w:eastAsia="Times New Roman" w:hAnsi="Times New Roman" w:cs="Times New Roman"/>
                <w:b/>
                <w:bCs/>
                <w:iCs/>
                <w:sz w:val="24"/>
                <w:szCs w:val="24"/>
                <w:lang w:val="ro-RO"/>
              </w:rPr>
              <w:t>Perioada de aplicare a Raportului de măsuri provizorii</w:t>
            </w:r>
          </w:p>
        </w:tc>
        <w:tc>
          <w:tcPr>
            <w:tcW w:w="4675" w:type="dxa"/>
            <w:vAlign w:val="center"/>
          </w:tcPr>
          <w:p w14:paraId="01D51DFC" w14:textId="77777777" w:rsidR="000E179C" w:rsidRPr="000D729C" w:rsidRDefault="000E179C" w:rsidP="00EE462B">
            <w:pPr>
              <w:tabs>
                <w:tab w:val="left" w:pos="993"/>
              </w:tabs>
              <w:contextualSpacing/>
              <w:jc w:val="center"/>
              <w:rPr>
                <w:rFonts w:ascii="Times New Roman" w:eastAsia="Times New Roman" w:hAnsi="Times New Roman" w:cs="Times New Roman"/>
                <w:b/>
                <w:bCs/>
                <w:iCs/>
                <w:sz w:val="24"/>
                <w:szCs w:val="24"/>
                <w:lang w:val="ro-RO"/>
              </w:rPr>
            </w:pPr>
            <w:r w:rsidRPr="000D729C">
              <w:rPr>
                <w:rFonts w:ascii="Times New Roman" w:eastAsia="Times New Roman" w:hAnsi="Times New Roman" w:cs="Times New Roman"/>
                <w:b/>
                <w:bCs/>
                <w:iCs/>
                <w:sz w:val="24"/>
                <w:szCs w:val="24"/>
                <w:lang w:val="ro-RO"/>
              </w:rPr>
              <w:t>Nivelul Toleranței</w:t>
            </w:r>
          </w:p>
        </w:tc>
      </w:tr>
      <w:tr w:rsidR="000E179C" w:rsidRPr="000D729C" w14:paraId="13B5CD45" w14:textId="77777777" w:rsidTr="00251A69">
        <w:trPr>
          <w:jc w:val="center"/>
        </w:trPr>
        <w:tc>
          <w:tcPr>
            <w:tcW w:w="4674" w:type="dxa"/>
            <w:vAlign w:val="center"/>
          </w:tcPr>
          <w:p w14:paraId="60C19AC5" w14:textId="77777777" w:rsidR="000E179C" w:rsidRPr="000D729C" w:rsidRDefault="000E179C" w:rsidP="00251A69">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13.12.2025 – 31.12.2026</w:t>
            </w:r>
          </w:p>
        </w:tc>
        <w:tc>
          <w:tcPr>
            <w:tcW w:w="4675" w:type="dxa"/>
            <w:vAlign w:val="center"/>
          </w:tcPr>
          <w:p w14:paraId="7E5B681B" w14:textId="1C057453" w:rsidR="000E179C" w:rsidRPr="000D729C" w:rsidRDefault="000D729C">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9</w:t>
            </w:r>
            <w:r w:rsidR="00625C7E" w:rsidRPr="000D729C">
              <w:rPr>
                <w:rFonts w:ascii="Times New Roman" w:eastAsia="Times New Roman" w:hAnsi="Times New Roman" w:cs="Times New Roman"/>
                <w:iCs/>
                <w:sz w:val="24"/>
                <w:szCs w:val="24"/>
                <w:lang w:val="ro-RO"/>
              </w:rPr>
              <w:t xml:space="preserve"> </w:t>
            </w:r>
            <w:r w:rsidR="000E179C" w:rsidRPr="000D729C">
              <w:rPr>
                <w:rFonts w:ascii="Times New Roman" w:eastAsia="Times New Roman" w:hAnsi="Times New Roman" w:cs="Times New Roman"/>
                <w:iCs/>
                <w:sz w:val="24"/>
                <w:szCs w:val="24"/>
                <w:lang w:val="ro-RO"/>
              </w:rPr>
              <w:t>%</w:t>
            </w:r>
          </w:p>
        </w:tc>
      </w:tr>
      <w:tr w:rsidR="000E179C" w:rsidRPr="000D729C" w14:paraId="6E47EF4C" w14:textId="77777777" w:rsidTr="00251A69">
        <w:trPr>
          <w:jc w:val="center"/>
        </w:trPr>
        <w:tc>
          <w:tcPr>
            <w:tcW w:w="4674" w:type="dxa"/>
            <w:vAlign w:val="center"/>
          </w:tcPr>
          <w:p w14:paraId="4090947A" w14:textId="77777777" w:rsidR="000E179C" w:rsidRPr="000D729C" w:rsidRDefault="000E179C" w:rsidP="00251A69">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01.01.2027 – 31.12.2027</w:t>
            </w:r>
          </w:p>
        </w:tc>
        <w:tc>
          <w:tcPr>
            <w:tcW w:w="4675" w:type="dxa"/>
            <w:vAlign w:val="center"/>
          </w:tcPr>
          <w:p w14:paraId="059CDFF2" w14:textId="79566EF8" w:rsidR="000E179C" w:rsidRPr="000D729C" w:rsidRDefault="000D729C">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8</w:t>
            </w:r>
            <w:r w:rsidR="00625C7E" w:rsidRPr="000D729C">
              <w:rPr>
                <w:rFonts w:ascii="Times New Roman" w:eastAsia="Times New Roman" w:hAnsi="Times New Roman" w:cs="Times New Roman"/>
                <w:iCs/>
                <w:sz w:val="24"/>
                <w:szCs w:val="24"/>
                <w:lang w:val="ro-RO"/>
              </w:rPr>
              <w:t xml:space="preserve"> </w:t>
            </w:r>
            <w:r w:rsidR="000E179C" w:rsidRPr="000D729C">
              <w:rPr>
                <w:rFonts w:ascii="Times New Roman" w:eastAsia="Times New Roman" w:hAnsi="Times New Roman" w:cs="Times New Roman"/>
                <w:iCs/>
                <w:sz w:val="24"/>
                <w:szCs w:val="24"/>
                <w:lang w:val="ro-RO"/>
              </w:rPr>
              <w:t>%</w:t>
            </w:r>
          </w:p>
        </w:tc>
      </w:tr>
      <w:tr w:rsidR="000E179C" w:rsidRPr="000D729C" w14:paraId="6186A149" w14:textId="77777777" w:rsidTr="00251A69">
        <w:trPr>
          <w:jc w:val="center"/>
        </w:trPr>
        <w:tc>
          <w:tcPr>
            <w:tcW w:w="4674" w:type="dxa"/>
            <w:vAlign w:val="center"/>
          </w:tcPr>
          <w:p w14:paraId="58B43324" w14:textId="77777777" w:rsidR="000E179C" w:rsidRPr="000D729C" w:rsidRDefault="000E179C" w:rsidP="00251A69">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01.01.2028 – 31.12.2028</w:t>
            </w:r>
          </w:p>
        </w:tc>
        <w:tc>
          <w:tcPr>
            <w:tcW w:w="4675" w:type="dxa"/>
            <w:vAlign w:val="center"/>
          </w:tcPr>
          <w:p w14:paraId="141AC1B9" w14:textId="5F853E75" w:rsidR="000E179C" w:rsidRPr="000D729C" w:rsidRDefault="000D729C">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6</w:t>
            </w:r>
            <w:r w:rsidR="00625C7E" w:rsidRPr="000D729C">
              <w:rPr>
                <w:rFonts w:ascii="Times New Roman" w:eastAsia="Times New Roman" w:hAnsi="Times New Roman" w:cs="Times New Roman"/>
                <w:iCs/>
                <w:sz w:val="24"/>
                <w:szCs w:val="24"/>
                <w:lang w:val="ro-RO"/>
              </w:rPr>
              <w:t xml:space="preserve"> </w:t>
            </w:r>
            <w:r w:rsidR="000E179C" w:rsidRPr="000D729C">
              <w:rPr>
                <w:rFonts w:ascii="Times New Roman" w:eastAsia="Times New Roman" w:hAnsi="Times New Roman" w:cs="Times New Roman"/>
                <w:iCs/>
                <w:sz w:val="24"/>
                <w:szCs w:val="24"/>
                <w:lang w:val="ro-RO"/>
              </w:rPr>
              <w:t>%</w:t>
            </w:r>
          </w:p>
        </w:tc>
      </w:tr>
      <w:tr w:rsidR="000E179C" w:rsidRPr="000D729C" w14:paraId="178253E4" w14:textId="77777777" w:rsidTr="00251A69">
        <w:trPr>
          <w:jc w:val="center"/>
        </w:trPr>
        <w:tc>
          <w:tcPr>
            <w:tcW w:w="4674" w:type="dxa"/>
            <w:vAlign w:val="center"/>
          </w:tcPr>
          <w:p w14:paraId="04E64783" w14:textId="77777777" w:rsidR="000E179C" w:rsidRPr="000D729C" w:rsidRDefault="000E179C" w:rsidP="00251A69">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01.01.2029 – 31.12.2029</w:t>
            </w:r>
          </w:p>
        </w:tc>
        <w:tc>
          <w:tcPr>
            <w:tcW w:w="4675" w:type="dxa"/>
            <w:vAlign w:val="center"/>
          </w:tcPr>
          <w:p w14:paraId="115225D7" w14:textId="6A398C8B" w:rsidR="000E179C" w:rsidRPr="000D729C" w:rsidRDefault="000D729C">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4</w:t>
            </w:r>
            <w:r w:rsidR="000E179C" w:rsidRPr="000D729C">
              <w:rPr>
                <w:rFonts w:ascii="Times New Roman" w:eastAsia="Times New Roman" w:hAnsi="Times New Roman" w:cs="Times New Roman"/>
                <w:iCs/>
                <w:sz w:val="24"/>
                <w:szCs w:val="24"/>
                <w:lang w:val="ro-RO"/>
              </w:rPr>
              <w:t xml:space="preserve"> %</w:t>
            </w:r>
          </w:p>
        </w:tc>
      </w:tr>
      <w:tr w:rsidR="000E179C" w:rsidRPr="000D729C" w14:paraId="70481B10" w14:textId="77777777" w:rsidTr="00251A69">
        <w:trPr>
          <w:jc w:val="center"/>
        </w:trPr>
        <w:tc>
          <w:tcPr>
            <w:tcW w:w="4674" w:type="dxa"/>
            <w:vAlign w:val="center"/>
          </w:tcPr>
          <w:p w14:paraId="7DD920CD" w14:textId="6F7080B3" w:rsidR="000E179C" w:rsidRPr="000D729C" w:rsidRDefault="000E179C" w:rsidP="00B41FB0">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 xml:space="preserve">01.01.2030 – </w:t>
            </w:r>
            <w:r w:rsidR="00B41FB0">
              <w:rPr>
                <w:rFonts w:ascii="Times New Roman" w:eastAsia="Times New Roman" w:hAnsi="Times New Roman" w:cs="Times New Roman"/>
                <w:iCs/>
                <w:sz w:val="24"/>
                <w:szCs w:val="24"/>
                <w:lang w:val="ro-RO"/>
              </w:rPr>
              <w:t>31</w:t>
            </w:r>
            <w:bookmarkStart w:id="11" w:name="_GoBack"/>
            <w:bookmarkEnd w:id="11"/>
            <w:r w:rsidRPr="000D729C">
              <w:rPr>
                <w:rFonts w:ascii="Times New Roman" w:eastAsia="Times New Roman" w:hAnsi="Times New Roman" w:cs="Times New Roman"/>
                <w:iCs/>
                <w:sz w:val="24"/>
                <w:szCs w:val="24"/>
                <w:lang w:val="ro-RO"/>
              </w:rPr>
              <w:t>.12.2030</w:t>
            </w:r>
          </w:p>
        </w:tc>
        <w:tc>
          <w:tcPr>
            <w:tcW w:w="4675" w:type="dxa"/>
            <w:vAlign w:val="center"/>
          </w:tcPr>
          <w:p w14:paraId="0DCC438C" w14:textId="094F74CF" w:rsidR="000E179C" w:rsidRPr="000D729C" w:rsidRDefault="000D729C">
            <w:pPr>
              <w:tabs>
                <w:tab w:val="left" w:pos="993"/>
              </w:tabs>
              <w:contextualSpacing/>
              <w:jc w:val="center"/>
              <w:rPr>
                <w:rFonts w:ascii="Times New Roman" w:eastAsia="Times New Roman" w:hAnsi="Times New Roman" w:cs="Times New Roman"/>
                <w:iCs/>
                <w:sz w:val="24"/>
                <w:szCs w:val="24"/>
                <w:lang w:val="ro-RO"/>
              </w:rPr>
            </w:pPr>
            <w:r w:rsidRPr="000D729C">
              <w:rPr>
                <w:rFonts w:ascii="Times New Roman" w:eastAsia="Times New Roman" w:hAnsi="Times New Roman" w:cs="Times New Roman"/>
                <w:iCs/>
                <w:sz w:val="24"/>
                <w:szCs w:val="24"/>
                <w:lang w:val="ro-RO"/>
              </w:rPr>
              <w:t>2</w:t>
            </w:r>
            <w:r w:rsidR="000E179C" w:rsidRPr="000D729C">
              <w:rPr>
                <w:rFonts w:ascii="Times New Roman" w:eastAsia="Times New Roman" w:hAnsi="Times New Roman" w:cs="Times New Roman"/>
                <w:iCs/>
                <w:sz w:val="24"/>
                <w:szCs w:val="24"/>
                <w:lang w:val="ro-RO"/>
              </w:rPr>
              <w:t xml:space="preserve"> %</w:t>
            </w:r>
          </w:p>
        </w:tc>
      </w:tr>
    </w:tbl>
    <w:p w14:paraId="3F3F2FB1" w14:textId="47FDB884" w:rsidR="000E179C" w:rsidRPr="000D729C" w:rsidRDefault="000E179C" w:rsidP="00EE462B">
      <w:pPr>
        <w:pBdr>
          <w:top w:val="nil"/>
          <w:left w:val="nil"/>
          <w:bottom w:val="nil"/>
          <w:right w:val="nil"/>
          <w:between w:val="nil"/>
        </w:pBdr>
        <w:tabs>
          <w:tab w:val="left" w:pos="993"/>
        </w:tabs>
        <w:ind w:firstLine="567"/>
        <w:contextualSpacing/>
        <w:jc w:val="both"/>
        <w:rPr>
          <w:rFonts w:ascii="Times New Roman" w:eastAsia="Times New Roman" w:hAnsi="Times New Roman" w:cs="Times New Roman"/>
          <w:iCs/>
          <w:sz w:val="24"/>
          <w:szCs w:val="24"/>
        </w:rPr>
      </w:pPr>
      <w:r w:rsidRPr="000D729C">
        <w:rPr>
          <w:rFonts w:ascii="Times New Roman" w:eastAsia="Times New Roman" w:hAnsi="Times New Roman" w:cs="Times New Roman"/>
          <w:iCs/>
          <w:sz w:val="24"/>
          <w:szCs w:val="24"/>
        </w:rPr>
        <w:t xml:space="preserve">Implementarea acestui grafic va permite o tranziție graduală </w:t>
      </w:r>
      <w:r w:rsidR="00011123" w:rsidRPr="000D729C">
        <w:rPr>
          <w:rFonts w:ascii="Times New Roman" w:eastAsia="Times New Roman" w:hAnsi="Times New Roman" w:cs="Times New Roman"/>
          <w:iCs/>
          <w:sz w:val="24"/>
          <w:szCs w:val="24"/>
        </w:rPr>
        <w:t xml:space="preserve">spre </w:t>
      </w:r>
      <w:r w:rsidRPr="000D729C">
        <w:rPr>
          <w:rFonts w:ascii="Times New Roman" w:eastAsia="Times New Roman" w:hAnsi="Times New Roman" w:cs="Times New Roman"/>
          <w:iCs/>
          <w:sz w:val="24"/>
          <w:szCs w:val="24"/>
        </w:rPr>
        <w:t>respectarea integrală a prevederilor Codului rețelelor</w:t>
      </w:r>
      <w:r w:rsidR="003F76FE" w:rsidRPr="000D729C">
        <w:rPr>
          <w:rFonts w:ascii="Times New Roman" w:eastAsia="Times New Roman" w:hAnsi="Times New Roman" w:cs="Times New Roman"/>
          <w:iCs/>
          <w:sz w:val="24"/>
          <w:szCs w:val="24"/>
        </w:rPr>
        <w:t>.</w:t>
      </w:r>
    </w:p>
    <w:p w14:paraId="2FCCE076" w14:textId="77777777" w:rsidR="00EE462B" w:rsidRPr="000D729C" w:rsidRDefault="00EE462B" w:rsidP="00EE462B">
      <w:pPr>
        <w:pBdr>
          <w:top w:val="nil"/>
          <w:left w:val="nil"/>
          <w:bottom w:val="nil"/>
          <w:right w:val="nil"/>
          <w:between w:val="nil"/>
        </w:pBdr>
        <w:tabs>
          <w:tab w:val="left" w:pos="993"/>
        </w:tabs>
        <w:ind w:firstLine="567"/>
        <w:contextualSpacing/>
        <w:jc w:val="both"/>
        <w:rPr>
          <w:rFonts w:ascii="Times New Roman" w:hAnsi="Times New Roman" w:cs="Times New Roman"/>
          <w:sz w:val="24"/>
          <w:szCs w:val="24"/>
        </w:rPr>
      </w:pPr>
    </w:p>
    <w:p w14:paraId="6263FA4E" w14:textId="77777777" w:rsidR="000E179C" w:rsidRPr="000D729C" w:rsidRDefault="000E179C" w:rsidP="004A17FD">
      <w:pPr>
        <w:pStyle w:val="Heading2"/>
        <w:numPr>
          <w:ilvl w:val="1"/>
          <w:numId w:val="7"/>
        </w:numPr>
        <w:tabs>
          <w:tab w:val="left" w:pos="567"/>
        </w:tabs>
        <w:spacing w:before="7" w:line="276" w:lineRule="auto"/>
        <w:ind w:left="709" w:hanging="709"/>
        <w:rPr>
          <w:rFonts w:ascii="Times New Roman" w:hAnsi="Times New Roman" w:cs="Times New Roman"/>
          <w:sz w:val="24"/>
          <w:szCs w:val="24"/>
        </w:rPr>
      </w:pPr>
      <w:bookmarkStart w:id="12" w:name="_TOC_250002"/>
      <w:bookmarkStart w:id="13" w:name="_Toc167708306"/>
      <w:r w:rsidRPr="000D729C">
        <w:rPr>
          <w:rFonts w:ascii="Times New Roman" w:hAnsi="Times New Roman" w:cs="Times New Roman"/>
          <w:sz w:val="24"/>
          <w:szCs w:val="24"/>
        </w:rPr>
        <w:t xml:space="preserve">Modul de determinare a </w:t>
      </w:r>
      <w:bookmarkEnd w:id="12"/>
      <w:r w:rsidRPr="000D729C">
        <w:rPr>
          <w:rFonts w:ascii="Times New Roman" w:hAnsi="Times New Roman" w:cs="Times New Roman"/>
          <w:sz w:val="24"/>
          <w:szCs w:val="24"/>
        </w:rPr>
        <w:t>dezechilibrelor</w:t>
      </w:r>
      <w:bookmarkEnd w:id="13"/>
    </w:p>
    <w:p w14:paraId="3086750D" w14:textId="77777777" w:rsidR="000E179C" w:rsidRPr="000D729C" w:rsidRDefault="000E179C" w:rsidP="0012201F">
      <w:pPr>
        <w:pStyle w:val="Heading2"/>
        <w:spacing w:before="7" w:line="276" w:lineRule="auto"/>
        <w:ind w:left="0" w:firstLine="567"/>
        <w:rPr>
          <w:rFonts w:ascii="Times New Roman" w:hAnsi="Times New Roman" w:cs="Times New Roman"/>
          <w:sz w:val="24"/>
          <w:szCs w:val="24"/>
        </w:rPr>
      </w:pPr>
      <w:r w:rsidRPr="000D729C">
        <w:rPr>
          <w:rFonts w:ascii="Times New Roman" w:hAnsi="Times New Roman" w:cs="Times New Roman"/>
          <w:b w:val="0"/>
          <w:sz w:val="24"/>
          <w:szCs w:val="24"/>
        </w:rPr>
        <w:t>Cantitatea</w:t>
      </w:r>
      <w:r w:rsidRPr="000D729C">
        <w:rPr>
          <w:rFonts w:ascii="Times New Roman" w:hAnsi="Times New Roman" w:cs="Times New Roman"/>
          <w:sz w:val="24"/>
          <w:szCs w:val="24"/>
        </w:rPr>
        <w:t xml:space="preserve"> </w:t>
      </w:r>
      <w:r w:rsidRPr="000D729C">
        <w:rPr>
          <w:rFonts w:ascii="Times New Roman" w:hAnsi="Times New Roman" w:cs="Times New Roman"/>
          <w:b w:val="0"/>
          <w:sz w:val="24"/>
          <w:szCs w:val="24"/>
        </w:rPr>
        <w:t>de gaze naturale aferentă dezechilibrului zilnic, se va calcula cu formula:</w:t>
      </w:r>
    </w:p>
    <w:p w14:paraId="31455116" w14:textId="0EDFFBFF" w:rsidR="000E179C" w:rsidRPr="000D729C" w:rsidRDefault="000E179C" w:rsidP="000E179C">
      <w:pPr>
        <w:spacing w:line="276" w:lineRule="auto"/>
        <w:jc w:val="center"/>
        <w:rPr>
          <w:rFonts w:ascii="Times New Roman" w:hAnsi="Times New Roman" w:cs="Times New Roman"/>
          <w:bCs/>
          <w:sz w:val="24"/>
          <w:szCs w:val="24"/>
        </w:rPr>
      </w:pPr>
      <w:r w:rsidRPr="000D729C">
        <w:rPr>
          <w:rFonts w:ascii="Times New Roman" w:hAnsi="Times New Roman" w:cs="Times New Roman"/>
          <w:b/>
          <w:bCs/>
          <w:sz w:val="24"/>
          <w:szCs w:val="24"/>
        </w:rPr>
        <w:t>Q</w:t>
      </w:r>
      <w:r w:rsidRPr="000D729C">
        <w:rPr>
          <w:rFonts w:ascii="Times New Roman" w:hAnsi="Times New Roman" w:cs="Times New Roman"/>
          <w:b/>
          <w:bCs/>
          <w:sz w:val="24"/>
          <w:szCs w:val="24"/>
          <w:vertAlign w:val="subscript"/>
        </w:rPr>
        <w:t>D</w:t>
      </w:r>
      <w:r w:rsidRPr="000D729C">
        <w:rPr>
          <w:rFonts w:ascii="Times New Roman" w:hAnsi="Times New Roman" w:cs="Times New Roman"/>
          <w:b/>
          <w:bCs/>
          <w:sz w:val="24"/>
          <w:szCs w:val="24"/>
        </w:rPr>
        <w:t xml:space="preserve"> = A</w:t>
      </w:r>
      <w:r w:rsidRPr="000D729C">
        <w:rPr>
          <w:rFonts w:ascii="Times New Roman" w:hAnsi="Times New Roman" w:cs="Times New Roman"/>
          <w:b/>
          <w:bCs/>
          <w:sz w:val="24"/>
          <w:szCs w:val="24"/>
          <w:vertAlign w:val="subscript"/>
        </w:rPr>
        <w:t>i</w:t>
      </w:r>
      <w:r w:rsidRPr="000D729C">
        <w:rPr>
          <w:rFonts w:ascii="Times New Roman" w:hAnsi="Times New Roman" w:cs="Times New Roman"/>
          <w:b/>
          <w:bCs/>
          <w:sz w:val="24"/>
          <w:szCs w:val="24"/>
        </w:rPr>
        <w:t xml:space="preserve"> + T</w:t>
      </w:r>
      <w:r w:rsidRPr="000D729C">
        <w:rPr>
          <w:rFonts w:ascii="Times New Roman" w:hAnsi="Times New Roman" w:cs="Times New Roman"/>
          <w:b/>
          <w:bCs/>
          <w:sz w:val="24"/>
          <w:szCs w:val="24"/>
          <w:vertAlign w:val="subscript"/>
        </w:rPr>
        <w:t>C</w:t>
      </w:r>
      <w:r w:rsidRPr="000D729C">
        <w:rPr>
          <w:rFonts w:ascii="Times New Roman" w:hAnsi="Times New Roman" w:cs="Times New Roman"/>
          <w:b/>
          <w:bCs/>
          <w:sz w:val="24"/>
          <w:szCs w:val="24"/>
        </w:rPr>
        <w:t xml:space="preserve"> - T</w:t>
      </w:r>
      <w:r w:rsidRPr="000D729C">
        <w:rPr>
          <w:rFonts w:ascii="Times New Roman" w:hAnsi="Times New Roman" w:cs="Times New Roman"/>
          <w:b/>
          <w:bCs/>
          <w:sz w:val="24"/>
          <w:szCs w:val="24"/>
          <w:vertAlign w:val="subscript"/>
        </w:rPr>
        <w:t>V</w:t>
      </w:r>
      <w:r w:rsidRPr="000D729C">
        <w:rPr>
          <w:rFonts w:ascii="Times New Roman" w:hAnsi="Times New Roman" w:cs="Times New Roman"/>
          <w:b/>
          <w:bCs/>
          <w:sz w:val="24"/>
          <w:szCs w:val="24"/>
        </w:rPr>
        <w:t xml:space="preserve"> - A</w:t>
      </w:r>
      <w:r w:rsidRPr="000D729C">
        <w:rPr>
          <w:rFonts w:ascii="Times New Roman" w:hAnsi="Times New Roman" w:cs="Times New Roman"/>
          <w:b/>
          <w:bCs/>
          <w:sz w:val="24"/>
          <w:szCs w:val="24"/>
          <w:vertAlign w:val="subscript"/>
        </w:rPr>
        <w:t xml:space="preserve">e </w:t>
      </w:r>
      <w:r w:rsidR="00B061EB" w:rsidRPr="000D729C">
        <w:rPr>
          <w:rFonts w:ascii="Times New Roman" w:hAnsi="Times New Roman" w:cs="Times New Roman"/>
          <w:b/>
          <w:bCs/>
          <w:sz w:val="24"/>
          <w:szCs w:val="24"/>
          <w:vertAlign w:val="subscript"/>
        </w:rPr>
        <w:t xml:space="preserve"> </w:t>
      </w:r>
      <w:r w:rsidRPr="000D729C">
        <w:rPr>
          <w:rFonts w:ascii="Times New Roman" w:hAnsi="Times New Roman" w:cs="Times New Roman"/>
          <w:b/>
          <w:bCs/>
          <w:sz w:val="24"/>
          <w:szCs w:val="24"/>
        </w:rPr>
        <w:t>± Q</w:t>
      </w:r>
      <w:r w:rsidRPr="000D729C">
        <w:rPr>
          <w:rFonts w:ascii="Times New Roman" w:hAnsi="Times New Roman" w:cs="Times New Roman"/>
          <w:b/>
          <w:bCs/>
          <w:sz w:val="24"/>
          <w:szCs w:val="24"/>
          <w:vertAlign w:val="subscript"/>
        </w:rPr>
        <w:t>f</w:t>
      </w:r>
      <w:r w:rsidRPr="000D729C">
        <w:rPr>
          <w:rFonts w:ascii="Times New Roman" w:hAnsi="Times New Roman" w:cs="Times New Roman"/>
          <w:bCs/>
          <w:sz w:val="24"/>
          <w:szCs w:val="24"/>
        </w:rPr>
        <w:t xml:space="preserve">     (1)</w:t>
      </w:r>
    </w:p>
    <w:p w14:paraId="4B4478E8" w14:textId="77777777" w:rsidR="000E179C" w:rsidRPr="000D729C" w:rsidRDefault="000E179C" w:rsidP="0012201F">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în care:</w:t>
      </w:r>
    </w:p>
    <w:p w14:paraId="1CDF33CD" w14:textId="77777777" w:rsidR="000E179C" w:rsidRPr="000D729C" w:rsidRDefault="000E179C" w:rsidP="0012201F">
      <w:pPr>
        <w:pStyle w:val="BodyText"/>
        <w:spacing w:before="1"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A</w:t>
      </w:r>
      <w:r w:rsidRPr="000D729C">
        <w:rPr>
          <w:rFonts w:ascii="Times New Roman" w:hAnsi="Times New Roman" w:cs="Times New Roman"/>
          <w:sz w:val="24"/>
          <w:szCs w:val="24"/>
          <w:vertAlign w:val="subscript"/>
        </w:rPr>
        <w:t>i</w:t>
      </w:r>
      <w:r w:rsidRPr="000D729C">
        <w:rPr>
          <w:rFonts w:ascii="Times New Roman" w:hAnsi="Times New Roman" w:cs="Times New Roman"/>
          <w:sz w:val="24"/>
          <w:szCs w:val="24"/>
        </w:rPr>
        <w:t xml:space="preserve"> - cantitatea de gaze naturale alocată în punctele de intrare ale rețelei de transport la care PRE a rezervat capacitate;</w:t>
      </w:r>
    </w:p>
    <w:p w14:paraId="39D2F8F2" w14:textId="77777777" w:rsidR="000E179C" w:rsidRPr="000D729C" w:rsidRDefault="000E179C" w:rsidP="0012201F">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A</w:t>
      </w:r>
      <w:r w:rsidRPr="000D729C">
        <w:rPr>
          <w:rFonts w:ascii="Times New Roman" w:hAnsi="Times New Roman" w:cs="Times New Roman"/>
          <w:sz w:val="24"/>
          <w:szCs w:val="24"/>
          <w:vertAlign w:val="subscript"/>
        </w:rPr>
        <w:t>e</w:t>
      </w:r>
      <w:r w:rsidRPr="000D729C">
        <w:rPr>
          <w:rFonts w:ascii="Times New Roman" w:hAnsi="Times New Roman" w:cs="Times New Roman"/>
          <w:sz w:val="24"/>
          <w:szCs w:val="24"/>
        </w:rPr>
        <w:t xml:space="preserve"> - cantitatea de gaze naturale alocată în punctele de ieșire ale rețelei de transport;</w:t>
      </w:r>
    </w:p>
    <w:p w14:paraId="6DA51B9A" w14:textId="77777777" w:rsidR="000E179C" w:rsidRPr="000D729C" w:rsidRDefault="000E179C" w:rsidP="0012201F">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T</w:t>
      </w:r>
      <w:r w:rsidRPr="000D729C">
        <w:rPr>
          <w:rFonts w:ascii="Times New Roman" w:hAnsi="Times New Roman" w:cs="Times New Roman"/>
          <w:sz w:val="24"/>
          <w:szCs w:val="24"/>
          <w:vertAlign w:val="subscript"/>
        </w:rPr>
        <w:t>C</w:t>
      </w:r>
      <w:r w:rsidRPr="000D729C">
        <w:rPr>
          <w:rFonts w:ascii="Times New Roman" w:hAnsi="Times New Roman" w:cs="Times New Roman"/>
          <w:sz w:val="24"/>
          <w:szCs w:val="24"/>
        </w:rPr>
        <w:t xml:space="preserve"> - notificarea în PVT a unei tranzacții de cumpărare efectuate de PRE;</w:t>
      </w:r>
    </w:p>
    <w:p w14:paraId="7220CBEB" w14:textId="77777777" w:rsidR="000E179C" w:rsidRPr="000D729C" w:rsidRDefault="000E179C" w:rsidP="0012201F">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T</w:t>
      </w:r>
      <w:r w:rsidRPr="000D729C">
        <w:rPr>
          <w:rFonts w:ascii="Times New Roman" w:hAnsi="Times New Roman" w:cs="Times New Roman"/>
          <w:sz w:val="24"/>
          <w:szCs w:val="24"/>
          <w:vertAlign w:val="subscript"/>
        </w:rPr>
        <w:t>V</w:t>
      </w:r>
      <w:r w:rsidRPr="000D729C">
        <w:rPr>
          <w:rFonts w:ascii="Times New Roman" w:hAnsi="Times New Roman" w:cs="Times New Roman"/>
          <w:sz w:val="24"/>
          <w:szCs w:val="24"/>
        </w:rPr>
        <w:t xml:space="preserve"> - notificarea în PVT a unei tranzacții de vânzare efectuate de PRE.</w:t>
      </w:r>
    </w:p>
    <w:p w14:paraId="6F3BE2A4" w14:textId="1E4A2DED" w:rsidR="000E179C" w:rsidRPr="000D729C" w:rsidRDefault="000E179C" w:rsidP="0012201F">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Q</w:t>
      </w:r>
      <w:r w:rsidRPr="000D729C">
        <w:rPr>
          <w:rFonts w:ascii="Times New Roman" w:hAnsi="Times New Roman" w:cs="Times New Roman"/>
          <w:sz w:val="24"/>
          <w:szCs w:val="24"/>
          <w:vertAlign w:val="subscript"/>
        </w:rPr>
        <w:t>f</w:t>
      </w:r>
      <w:r w:rsidRPr="000D729C">
        <w:rPr>
          <w:rFonts w:ascii="Times New Roman" w:hAnsi="Times New Roman" w:cs="Times New Roman"/>
          <w:sz w:val="24"/>
          <w:szCs w:val="24"/>
        </w:rPr>
        <w:t xml:space="preserve"> </w:t>
      </w:r>
      <w:r w:rsidR="00D02E05" w:rsidRPr="000D729C">
        <w:rPr>
          <w:rFonts w:ascii="Times New Roman" w:hAnsi="Times New Roman" w:cs="Times New Roman"/>
          <w:sz w:val="24"/>
          <w:szCs w:val="24"/>
        </w:rPr>
        <w:t>-</w:t>
      </w:r>
      <w:r w:rsidRPr="000D729C">
        <w:rPr>
          <w:rFonts w:ascii="Times New Roman" w:hAnsi="Times New Roman" w:cs="Times New Roman"/>
          <w:sz w:val="24"/>
          <w:szCs w:val="24"/>
        </w:rPr>
        <w:t xml:space="preserve"> cantitatea de gaze naturale stocată/extrasă conform </w:t>
      </w:r>
      <w:r w:rsidRPr="000D729C">
        <w:rPr>
          <w:rFonts w:ascii="Times New Roman" w:hAnsi="Times New Roman" w:cs="Times New Roman"/>
          <w:b/>
          <w:sz w:val="24"/>
          <w:szCs w:val="24"/>
        </w:rPr>
        <w:t>serviciului de flexibilitate prin stocare în conductă</w:t>
      </w:r>
      <w:r w:rsidRPr="000D729C">
        <w:rPr>
          <w:rFonts w:ascii="Times New Roman" w:hAnsi="Times New Roman" w:cs="Times New Roman"/>
          <w:sz w:val="24"/>
          <w:szCs w:val="24"/>
        </w:rPr>
        <w:t>, după caz.</w:t>
      </w:r>
      <w:r w:rsidR="00D02E05" w:rsidRPr="000D729C">
        <w:rPr>
          <w:rFonts w:ascii="Times New Roman" w:hAnsi="Times New Roman" w:cs="Times New Roman"/>
          <w:sz w:val="24"/>
          <w:szCs w:val="24"/>
        </w:rPr>
        <w:t xml:space="preserve"> </w:t>
      </w:r>
    </w:p>
    <w:p w14:paraId="6772998C" w14:textId="77777777" w:rsidR="000E179C" w:rsidRPr="000D729C" w:rsidRDefault="000E179C" w:rsidP="0012201F">
      <w:pPr>
        <w:pStyle w:val="BodyText"/>
        <w:spacing w:line="276" w:lineRule="auto"/>
        <w:ind w:firstLine="567"/>
        <w:jc w:val="both"/>
        <w:rPr>
          <w:rFonts w:ascii="Times New Roman" w:hAnsi="Times New Roman" w:cs="Times New Roman"/>
          <w:b/>
          <w:bCs/>
          <w:i/>
          <w:sz w:val="24"/>
          <w:szCs w:val="24"/>
        </w:rPr>
      </w:pPr>
      <w:r w:rsidRPr="000D729C">
        <w:rPr>
          <w:rFonts w:ascii="Times New Roman" w:hAnsi="Times New Roman" w:cs="Times New Roman"/>
          <w:b/>
          <w:bCs/>
          <w:i/>
          <w:sz w:val="24"/>
          <w:szCs w:val="24"/>
        </w:rPr>
        <w:t xml:space="preserve">Notă: </w:t>
      </w:r>
    </w:p>
    <w:p w14:paraId="32798652" w14:textId="77777777" w:rsidR="000E179C" w:rsidRPr="000D729C" w:rsidRDefault="000E179C" w:rsidP="0012201F">
      <w:pPr>
        <w:pStyle w:val="BodyText"/>
        <w:spacing w:line="276" w:lineRule="auto"/>
        <w:ind w:firstLine="567"/>
        <w:jc w:val="both"/>
        <w:rPr>
          <w:rFonts w:ascii="Times New Roman" w:hAnsi="Times New Roman" w:cs="Times New Roman"/>
          <w:i/>
          <w:sz w:val="24"/>
          <w:szCs w:val="24"/>
        </w:rPr>
      </w:pPr>
      <w:r w:rsidRPr="000D729C">
        <w:rPr>
          <w:rFonts w:ascii="Times New Roman" w:hAnsi="Times New Roman" w:cs="Times New Roman"/>
          <w:i/>
          <w:sz w:val="24"/>
          <w:szCs w:val="24"/>
        </w:rPr>
        <w:t>OST va transmite zilnic PRE până la ora 16:00, calculul dezechilibrelor zilnice (transmise în ziua D pentru ziua gazieră D-1), acestea vor fi cu caracter provizoriu și nu reprezintă dezechilibrele zilnice finale.</w:t>
      </w:r>
    </w:p>
    <w:p w14:paraId="7B22D84B" w14:textId="77777777" w:rsidR="000E179C" w:rsidRPr="000D729C" w:rsidRDefault="000E179C" w:rsidP="0012201F">
      <w:pPr>
        <w:pStyle w:val="Heading2"/>
        <w:spacing w:before="7" w:line="276" w:lineRule="auto"/>
        <w:ind w:left="0" w:firstLine="567"/>
        <w:rPr>
          <w:rFonts w:ascii="Times New Roman" w:hAnsi="Times New Roman" w:cs="Times New Roman"/>
          <w:sz w:val="24"/>
          <w:szCs w:val="24"/>
        </w:rPr>
      </w:pPr>
      <w:r w:rsidRPr="000D729C">
        <w:rPr>
          <w:rFonts w:ascii="Times New Roman" w:hAnsi="Times New Roman" w:cs="Times New Roman"/>
          <w:b w:val="0"/>
          <w:sz w:val="24"/>
          <w:szCs w:val="24"/>
        </w:rPr>
        <w:t>Tranzacțiile</w:t>
      </w:r>
      <w:r w:rsidRPr="000D729C">
        <w:rPr>
          <w:rFonts w:ascii="Times New Roman" w:hAnsi="Times New Roman" w:cs="Times New Roman"/>
          <w:b w:val="0"/>
          <w:bCs w:val="0"/>
          <w:sz w:val="24"/>
          <w:szCs w:val="24"/>
        </w:rPr>
        <w:t xml:space="preserve"> în PVT pot fi:</w:t>
      </w:r>
      <w:r w:rsidRPr="000D729C">
        <w:rPr>
          <w:rFonts w:ascii="Times New Roman" w:hAnsi="Times New Roman" w:cs="Times New Roman"/>
          <w:b w:val="0"/>
          <w:sz w:val="24"/>
          <w:szCs w:val="24"/>
        </w:rPr>
        <w:t xml:space="preserve"> tranzacțiile de pe platformele de tranzacționare a gazelor naturale aprobate de ANRE sau tranzacții bilaterale/notificări comerciale între US. </w:t>
      </w:r>
    </w:p>
    <w:p w14:paraId="1B88D1A1" w14:textId="5C8E3D71" w:rsidR="000E179C" w:rsidRPr="000D729C" w:rsidRDefault="000E179C" w:rsidP="0012201F">
      <w:pPr>
        <w:pStyle w:val="Heading2"/>
        <w:spacing w:before="7" w:line="276" w:lineRule="auto"/>
        <w:ind w:left="0" w:firstLine="567"/>
        <w:rPr>
          <w:rFonts w:ascii="Times New Roman" w:hAnsi="Times New Roman" w:cs="Times New Roman"/>
          <w:sz w:val="24"/>
          <w:szCs w:val="24"/>
        </w:rPr>
      </w:pPr>
      <w:r w:rsidRPr="000D729C">
        <w:rPr>
          <w:rFonts w:ascii="Times New Roman" w:hAnsi="Times New Roman" w:cs="Times New Roman"/>
          <w:b w:val="0"/>
          <w:sz w:val="24"/>
          <w:szCs w:val="24"/>
        </w:rPr>
        <w:t>Notificarea comercială</w:t>
      </w:r>
      <w:r w:rsidR="00EE462B" w:rsidRPr="000D729C">
        <w:rPr>
          <w:rFonts w:ascii="Times New Roman" w:hAnsi="Times New Roman" w:cs="Times New Roman"/>
          <w:b w:val="0"/>
          <w:sz w:val="24"/>
          <w:szCs w:val="24"/>
        </w:rPr>
        <w:t>, (conform modelului publicat pe pagina web a OST)</w:t>
      </w:r>
      <w:r w:rsidR="00EE462B" w:rsidRPr="000D729C">
        <w:rPr>
          <w:rFonts w:ascii="Times New Roman" w:hAnsi="Times New Roman" w:cs="Times New Roman"/>
          <w:sz w:val="24"/>
          <w:szCs w:val="24"/>
        </w:rPr>
        <w:t xml:space="preserve"> </w:t>
      </w:r>
      <w:r w:rsidR="00EE462B" w:rsidRPr="000D729C">
        <w:rPr>
          <w:rFonts w:ascii="Times New Roman" w:hAnsi="Times New Roman" w:cs="Times New Roman"/>
          <w:b w:val="0"/>
          <w:sz w:val="24"/>
          <w:szCs w:val="24"/>
        </w:rPr>
        <w:t>se</w:t>
      </w:r>
      <w:r w:rsidRPr="000D729C">
        <w:rPr>
          <w:rFonts w:ascii="Times New Roman" w:hAnsi="Times New Roman" w:cs="Times New Roman"/>
          <w:b w:val="0"/>
          <w:sz w:val="24"/>
          <w:szCs w:val="24"/>
        </w:rPr>
        <w:t xml:space="preserve"> </w:t>
      </w:r>
      <w:r w:rsidR="00EE462B" w:rsidRPr="000D729C">
        <w:rPr>
          <w:rFonts w:ascii="Times New Roman" w:hAnsi="Times New Roman" w:cs="Times New Roman"/>
          <w:b w:val="0"/>
          <w:sz w:val="24"/>
          <w:szCs w:val="24"/>
        </w:rPr>
        <w:t>transmite</w:t>
      </w:r>
      <w:r w:rsidRPr="000D729C">
        <w:rPr>
          <w:rFonts w:ascii="Times New Roman" w:hAnsi="Times New Roman" w:cs="Times New Roman"/>
          <w:b w:val="0"/>
          <w:sz w:val="24"/>
          <w:szCs w:val="24"/>
        </w:rPr>
        <w:t xml:space="preserve"> la adresa electronică </w:t>
      </w:r>
      <w:hyperlink r:id="rId10" w:history="1">
        <w:r w:rsidRPr="000D729C">
          <w:rPr>
            <w:rStyle w:val="Hyperlink"/>
            <w:rFonts w:ascii="Times New Roman" w:hAnsi="Times New Roman" w:cs="Times New Roman"/>
            <w:sz w:val="24"/>
            <w:szCs w:val="24"/>
          </w:rPr>
          <w:t>ee@vmtg.md</w:t>
        </w:r>
      </w:hyperlink>
      <w:r w:rsidRPr="000D729C">
        <w:rPr>
          <w:rFonts w:ascii="Times New Roman" w:hAnsi="Times New Roman" w:cs="Times New Roman"/>
          <w:b w:val="0"/>
          <w:sz w:val="24"/>
          <w:szCs w:val="24"/>
        </w:rPr>
        <w:t xml:space="preserve"> și conține următoarele informații:</w:t>
      </w:r>
    </w:p>
    <w:p w14:paraId="6ADEDDA9" w14:textId="77777777" w:rsidR="000E179C" w:rsidRPr="000D729C" w:rsidRDefault="000E179C" w:rsidP="0012201F">
      <w:pPr>
        <w:pStyle w:val="BodyText"/>
        <w:numPr>
          <w:ilvl w:val="0"/>
          <w:numId w:val="4"/>
        </w:numPr>
        <w:tabs>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ziua gazieră pentru care se realizează notificarea;</w:t>
      </w:r>
    </w:p>
    <w:p w14:paraId="02EA9AE1" w14:textId="77777777" w:rsidR="000E179C" w:rsidRPr="000D729C" w:rsidRDefault="000E179C" w:rsidP="0012201F">
      <w:pPr>
        <w:pStyle w:val="BodyText"/>
        <w:numPr>
          <w:ilvl w:val="0"/>
          <w:numId w:val="4"/>
        </w:numPr>
        <w:tabs>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codurile de identificare ale ambelor părți;</w:t>
      </w:r>
    </w:p>
    <w:p w14:paraId="7D444E3A" w14:textId="77777777" w:rsidR="000E179C" w:rsidRPr="000D729C" w:rsidRDefault="000E179C" w:rsidP="0012201F">
      <w:pPr>
        <w:pStyle w:val="BodyText"/>
        <w:numPr>
          <w:ilvl w:val="0"/>
          <w:numId w:val="4"/>
        </w:numPr>
        <w:tabs>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lastRenderedPageBreak/>
        <w:t>specificarea tipului notificării (vânzare sau cumpărare);</w:t>
      </w:r>
    </w:p>
    <w:p w14:paraId="4079F285" w14:textId="77777777" w:rsidR="000E179C" w:rsidRPr="000D729C" w:rsidRDefault="000E179C" w:rsidP="0012201F">
      <w:pPr>
        <w:pStyle w:val="BodyText"/>
        <w:numPr>
          <w:ilvl w:val="0"/>
          <w:numId w:val="4"/>
        </w:numPr>
        <w:tabs>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cantitatea de gaze naturale vândută/cumpărată în MWh.</w:t>
      </w:r>
    </w:p>
    <w:p w14:paraId="5014AE20" w14:textId="240BFC22" w:rsidR="000E179C" w:rsidRPr="000D729C" w:rsidRDefault="000E179C" w:rsidP="0012201F">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Totodată, ținând cont că piața nu este la un nivel suficient de dezvoltare, în condițiile în care se aplică Măsurile provizorii de echilibrare, iar în conformitate cu art. 613 din Codul rețelelor, calcularea prețului se poate baza pe un preț reglementat, un indicator al unui preț de piață sau pe un preț derivat din tranzacțiile de pe platformele de echilibrare.</w:t>
      </w:r>
    </w:p>
    <w:p w14:paraId="5D2F14DF" w14:textId="112308E4" w:rsidR="008707EF" w:rsidRPr="000D729C" w:rsidRDefault="008707EF" w:rsidP="00E02869">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„Vestmoldtransgaz” S.R.L. prestează serviciul de flexibilitate prin stocare în conductă în conformitate cu Hotărârea ANRE nr. 701 din 12.12.24 privind aprobarea termenilor și condițiilor aferente prestării serviciului de flexibilitate prin stocare în conductă de către operatorul sistemului de transport al gazelor naturale.</w:t>
      </w:r>
      <w:r w:rsidR="00985FD4" w:rsidRPr="000D729C">
        <w:rPr>
          <w:rFonts w:ascii="Times New Roman" w:hAnsi="Times New Roman" w:cs="Times New Roman"/>
          <w:sz w:val="24"/>
          <w:szCs w:val="24"/>
        </w:rPr>
        <w:t xml:space="preserve"> </w:t>
      </w:r>
      <w:r w:rsidRPr="000D729C">
        <w:rPr>
          <w:rFonts w:ascii="Times New Roman" w:hAnsi="Times New Roman" w:cs="Times New Roman"/>
          <w:sz w:val="24"/>
          <w:szCs w:val="24"/>
        </w:rPr>
        <w:t>Prin serviciul de flexibilitate prin stocare se oferă posibilitatea PRE de a utiliza capacitatea de stocare a rețelelor de transport al gazelor naturale pentru compensarea dezechilibrului PRE provocat de diferența cantităților de gaze naturale livrate la punctele de intrare în rețelele de transport și celor alocate la punctele de ieșire din rețelele de transport ale OST, într-o zi gazieră.</w:t>
      </w:r>
    </w:p>
    <w:p w14:paraId="390A8347" w14:textId="168B3CDE" w:rsidR="000E179C" w:rsidRPr="000D729C" w:rsidRDefault="000E179C" w:rsidP="0012201F">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Până în data de 1</w:t>
      </w:r>
      <w:r w:rsidR="00625C7E" w:rsidRPr="000D729C">
        <w:rPr>
          <w:rFonts w:ascii="Times New Roman" w:hAnsi="Times New Roman" w:cs="Times New Roman"/>
          <w:sz w:val="24"/>
          <w:szCs w:val="24"/>
        </w:rPr>
        <w:t>3</w:t>
      </w:r>
      <w:r w:rsidR="0054615E" w:rsidRPr="000D729C">
        <w:rPr>
          <w:rFonts w:ascii="Times New Roman" w:hAnsi="Times New Roman" w:cs="Times New Roman"/>
          <w:sz w:val="24"/>
          <w:szCs w:val="24"/>
        </w:rPr>
        <w:t xml:space="preserve"> </w:t>
      </w:r>
      <w:r w:rsidRPr="000D729C">
        <w:rPr>
          <w:rFonts w:ascii="Times New Roman" w:hAnsi="Times New Roman" w:cs="Times New Roman"/>
          <w:sz w:val="24"/>
          <w:szCs w:val="24"/>
        </w:rPr>
        <w:t>a lunii M+1 pentru luna M, se finalizează alocarea zilnică finală în funcție de corecțiile înregistrate pentru fiecare zi din luna M. Până în data de 1</w:t>
      </w:r>
      <w:r w:rsidR="00625C7E" w:rsidRPr="000D729C">
        <w:rPr>
          <w:rFonts w:ascii="Times New Roman" w:hAnsi="Times New Roman" w:cs="Times New Roman"/>
          <w:sz w:val="24"/>
          <w:szCs w:val="24"/>
        </w:rPr>
        <w:t>3</w:t>
      </w:r>
      <w:r w:rsidRPr="000D729C">
        <w:rPr>
          <w:rFonts w:ascii="Times New Roman" w:hAnsi="Times New Roman" w:cs="Times New Roman"/>
          <w:sz w:val="24"/>
          <w:szCs w:val="24"/>
        </w:rPr>
        <w:t>-a lunii M+1 pentru luna M, OST informează PRE dezechilibrul zilnic final înainte de a fi tranzacționate pe platforma de echilibrare (PE).</w:t>
      </w:r>
    </w:p>
    <w:p w14:paraId="635B03D9" w14:textId="1147AC06" w:rsidR="000E179C" w:rsidRPr="000D729C" w:rsidRDefault="000E179C" w:rsidP="0012201F">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OST va publica în data de </w:t>
      </w:r>
      <w:r w:rsidR="00742161" w:rsidRPr="000D729C">
        <w:rPr>
          <w:rFonts w:ascii="Times New Roman" w:hAnsi="Times New Roman" w:cs="Times New Roman"/>
          <w:sz w:val="24"/>
          <w:szCs w:val="24"/>
        </w:rPr>
        <w:t xml:space="preserve">13 </w:t>
      </w:r>
      <w:r w:rsidRPr="000D729C">
        <w:rPr>
          <w:rFonts w:ascii="Times New Roman" w:hAnsi="Times New Roman" w:cs="Times New Roman"/>
          <w:sz w:val="24"/>
          <w:szCs w:val="24"/>
        </w:rPr>
        <w:t xml:space="preserve">a lunii M+1, până la ora 16:30, pe pagina web </w:t>
      </w:r>
      <w:hyperlink r:id="rId11" w:history="1">
        <w:r w:rsidRPr="000D729C">
          <w:rPr>
            <w:rStyle w:val="Hyperlink"/>
            <w:rFonts w:ascii="Times New Roman" w:hAnsi="Times New Roman" w:cs="Times New Roman"/>
            <w:sz w:val="24"/>
            <w:szCs w:val="24"/>
          </w:rPr>
          <w:t>www.vmtg.md</w:t>
        </w:r>
      </w:hyperlink>
      <w:r w:rsidRPr="000D729C">
        <w:rPr>
          <w:rFonts w:ascii="Times New Roman" w:hAnsi="Times New Roman" w:cs="Times New Roman"/>
          <w:sz w:val="24"/>
          <w:szCs w:val="24"/>
        </w:rPr>
        <w:t xml:space="preserve"> </w:t>
      </w:r>
      <w:r w:rsidR="00742161" w:rsidRPr="000D729C">
        <w:rPr>
          <w:rFonts w:ascii="Times New Roman" w:hAnsi="Times New Roman" w:cs="Times New Roman"/>
          <w:sz w:val="24"/>
          <w:szCs w:val="24"/>
        </w:rPr>
        <w:t xml:space="preserve">informație privind </w:t>
      </w:r>
      <w:r w:rsidRPr="000D729C">
        <w:rPr>
          <w:rFonts w:ascii="Times New Roman" w:hAnsi="Times New Roman" w:cs="Times New Roman"/>
          <w:sz w:val="24"/>
          <w:szCs w:val="24"/>
        </w:rPr>
        <w:t>tipul dezechilibrului zilnic (deficit/excedent) pentru fiecare PRE.</w:t>
      </w:r>
    </w:p>
    <w:p w14:paraId="35AF797E" w14:textId="77777777" w:rsidR="000E179C" w:rsidRPr="000D729C" w:rsidRDefault="000E179C" w:rsidP="000E179C">
      <w:pPr>
        <w:pStyle w:val="BodyText"/>
        <w:spacing w:before="2" w:line="276" w:lineRule="auto"/>
        <w:ind w:firstLine="720"/>
        <w:jc w:val="both"/>
        <w:rPr>
          <w:rFonts w:ascii="Times New Roman" w:hAnsi="Times New Roman" w:cs="Times New Roman"/>
          <w:sz w:val="24"/>
          <w:szCs w:val="24"/>
        </w:rPr>
      </w:pPr>
    </w:p>
    <w:p w14:paraId="27D4B290" w14:textId="77777777" w:rsidR="000E179C" w:rsidRPr="000D729C" w:rsidRDefault="000E179C" w:rsidP="004A17FD">
      <w:pPr>
        <w:pStyle w:val="Heading2"/>
        <w:numPr>
          <w:ilvl w:val="1"/>
          <w:numId w:val="7"/>
        </w:numPr>
        <w:tabs>
          <w:tab w:val="left" w:pos="567"/>
        </w:tabs>
        <w:spacing w:before="7" w:line="276" w:lineRule="auto"/>
        <w:ind w:left="709" w:hanging="567"/>
        <w:rPr>
          <w:rFonts w:ascii="Times New Roman" w:hAnsi="Times New Roman" w:cs="Times New Roman"/>
          <w:sz w:val="24"/>
          <w:szCs w:val="24"/>
        </w:rPr>
      </w:pPr>
      <w:r w:rsidRPr="000D729C">
        <w:rPr>
          <w:rFonts w:ascii="Times New Roman" w:hAnsi="Times New Roman" w:cs="Times New Roman"/>
          <w:sz w:val="24"/>
          <w:szCs w:val="24"/>
        </w:rPr>
        <w:t>Platforma de echilibrare</w:t>
      </w:r>
    </w:p>
    <w:p w14:paraId="5E291D4D" w14:textId="442D5E96" w:rsidR="005B5989" w:rsidRPr="000D729C" w:rsidRDefault="000E179C" w:rsidP="00FE0C72">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Potrivit pct. 608 din Codul rețelelor, în situația în care piața angro a gazelor naturale pe termen scurt are, sau se anticipează că va avea, o lichiditate insuficientă, ori atunci când produsele temporare și cele de localizare necesare nu pot fi achiziționate în mod rezonabil pe această piață, se instituie o </w:t>
      </w:r>
      <w:r w:rsidRPr="000D729C">
        <w:rPr>
          <w:rFonts w:ascii="Times New Roman" w:hAnsi="Times New Roman" w:cs="Times New Roman"/>
          <w:b/>
          <w:bCs/>
          <w:sz w:val="24"/>
          <w:szCs w:val="24"/>
        </w:rPr>
        <w:t>platformă de echilibrare</w:t>
      </w:r>
      <w:r w:rsidRPr="000D729C">
        <w:rPr>
          <w:rFonts w:ascii="Times New Roman" w:hAnsi="Times New Roman" w:cs="Times New Roman"/>
          <w:sz w:val="24"/>
          <w:szCs w:val="24"/>
        </w:rPr>
        <w:t>, destinată asigurării echilibrului fizic și comercial al sistemului de transport al gazelor naturale.</w:t>
      </w:r>
      <w:r w:rsidR="005B5989" w:rsidRPr="000D729C">
        <w:rPr>
          <w:rFonts w:ascii="Times New Roman" w:hAnsi="Times New Roman" w:cs="Times New Roman"/>
          <w:sz w:val="24"/>
          <w:szCs w:val="24"/>
        </w:rPr>
        <w:t xml:space="preserve"> </w:t>
      </w:r>
    </w:p>
    <w:p w14:paraId="3CCB18B5" w14:textId="4B4BE26F" w:rsidR="005B5989" w:rsidRPr="000D729C" w:rsidRDefault="000E179C" w:rsidP="00FE0C72">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Conform pct. 70 din Regulile pieței</w:t>
      </w:r>
      <w:r w:rsidR="00FE0C72" w:rsidRPr="000D729C">
        <w:rPr>
          <w:rFonts w:ascii="Times New Roman" w:hAnsi="Times New Roman" w:cs="Times New Roman"/>
          <w:sz w:val="24"/>
          <w:szCs w:val="24"/>
        </w:rPr>
        <w:t xml:space="preserve"> gazelor naturale</w:t>
      </w:r>
      <w:r w:rsidR="00C24809" w:rsidRPr="000D729C">
        <w:rPr>
          <w:rFonts w:ascii="Times New Roman" w:hAnsi="Times New Roman" w:cs="Times New Roman"/>
          <w:sz w:val="24"/>
          <w:szCs w:val="24"/>
        </w:rPr>
        <w:t>,</w:t>
      </w:r>
      <w:r w:rsidRPr="000D729C">
        <w:rPr>
          <w:rFonts w:ascii="Times New Roman" w:hAnsi="Times New Roman" w:cs="Times New Roman"/>
          <w:sz w:val="24"/>
          <w:szCs w:val="24"/>
        </w:rPr>
        <w:t xml:space="preserve"> </w:t>
      </w:r>
      <w:r w:rsidR="00C24809" w:rsidRPr="000D729C">
        <w:rPr>
          <w:rFonts w:ascii="Times New Roman" w:hAnsi="Times New Roman" w:cs="Times New Roman"/>
          <w:bCs/>
          <w:sz w:val="24"/>
          <w:szCs w:val="24"/>
        </w:rPr>
        <w:t xml:space="preserve">ca </w:t>
      </w:r>
      <w:r w:rsidRPr="000D729C">
        <w:rPr>
          <w:rFonts w:ascii="Times New Roman" w:hAnsi="Times New Roman" w:cs="Times New Roman"/>
          <w:bCs/>
          <w:sz w:val="24"/>
          <w:szCs w:val="24"/>
        </w:rPr>
        <w:t xml:space="preserve">măsură provizorie, în condițiile Codului </w:t>
      </w:r>
      <w:r w:rsidR="00CE5C54" w:rsidRPr="000D729C">
        <w:rPr>
          <w:rFonts w:ascii="Times New Roman" w:hAnsi="Times New Roman" w:cs="Times New Roman"/>
          <w:bCs/>
          <w:sz w:val="24"/>
          <w:szCs w:val="24"/>
        </w:rPr>
        <w:t>r</w:t>
      </w:r>
      <w:r w:rsidRPr="000D729C">
        <w:rPr>
          <w:rFonts w:ascii="Times New Roman" w:hAnsi="Times New Roman" w:cs="Times New Roman"/>
          <w:bCs/>
          <w:sz w:val="24"/>
          <w:szCs w:val="24"/>
        </w:rPr>
        <w:t>ețelelor</w:t>
      </w:r>
      <w:r w:rsidR="00C24809" w:rsidRPr="000D729C">
        <w:rPr>
          <w:rFonts w:ascii="Times New Roman" w:hAnsi="Times New Roman" w:cs="Times New Roman"/>
          <w:bCs/>
          <w:sz w:val="24"/>
          <w:szCs w:val="24"/>
        </w:rPr>
        <w:t xml:space="preserve">, </w:t>
      </w:r>
      <w:r w:rsidR="00143536" w:rsidRPr="000D729C">
        <w:rPr>
          <w:rFonts w:ascii="Times New Roman" w:hAnsi="Times New Roman" w:cs="Times New Roman"/>
          <w:bCs/>
          <w:sz w:val="24"/>
          <w:szCs w:val="24"/>
        </w:rPr>
        <w:t>OST</w:t>
      </w:r>
      <w:r w:rsidRPr="000D729C">
        <w:rPr>
          <w:rFonts w:ascii="Times New Roman" w:hAnsi="Times New Roman" w:cs="Times New Roman"/>
          <w:bCs/>
          <w:sz w:val="24"/>
          <w:szCs w:val="24"/>
        </w:rPr>
        <w:t xml:space="preserve"> poate crea o platformă de echilibrare sub formă de platformă de tranzacționare în care </w:t>
      </w:r>
      <w:r w:rsidR="00143536" w:rsidRPr="000D729C">
        <w:rPr>
          <w:rFonts w:ascii="Times New Roman" w:hAnsi="Times New Roman" w:cs="Times New Roman"/>
          <w:bCs/>
          <w:sz w:val="24"/>
          <w:szCs w:val="24"/>
        </w:rPr>
        <w:t>OST</w:t>
      </w:r>
      <w:r w:rsidRPr="000D729C">
        <w:rPr>
          <w:rFonts w:ascii="Times New Roman" w:hAnsi="Times New Roman" w:cs="Times New Roman"/>
          <w:bCs/>
          <w:sz w:val="24"/>
          <w:szCs w:val="24"/>
        </w:rPr>
        <w:t xml:space="preserve"> acționează în calitate de contraparte la toate tranzacțiile</w:t>
      </w:r>
      <w:r w:rsidRPr="000D729C">
        <w:rPr>
          <w:rFonts w:ascii="Times New Roman" w:hAnsi="Times New Roman" w:cs="Times New Roman"/>
          <w:sz w:val="24"/>
          <w:szCs w:val="24"/>
        </w:rPr>
        <w:t>.</w:t>
      </w:r>
      <w:r w:rsidR="005B5989" w:rsidRPr="000D729C">
        <w:rPr>
          <w:rFonts w:ascii="Times New Roman" w:hAnsi="Times New Roman" w:cs="Times New Roman"/>
          <w:sz w:val="24"/>
          <w:szCs w:val="24"/>
        </w:rPr>
        <w:t xml:space="preserve"> </w:t>
      </w:r>
    </w:p>
    <w:p w14:paraId="0B43D68B" w14:textId="70CDAABC" w:rsidR="008707EF" w:rsidRPr="000D729C" w:rsidRDefault="008707EF" w:rsidP="00FE0C72">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„Vestmoldtransgaz” S.R.L., în calitate de Operator al Sistemului de Transport al gazelor naturale, are obligația legală de a asigura echilibrarea zilnică a sistemului printr-un mecanism transparent, eficient și nediscriminatoriu. Pentru îndeplinirea acestor responsabilități, este necesară achiziția serviciilor specializate de organizare și administrare a pieței de echilibrare, inclusiv punerea la dispoziție a unei platforme de </w:t>
      </w:r>
      <w:r w:rsidR="00997C6C" w:rsidRPr="000D729C">
        <w:rPr>
          <w:rFonts w:ascii="Times New Roman" w:hAnsi="Times New Roman" w:cs="Times New Roman"/>
          <w:sz w:val="24"/>
          <w:szCs w:val="24"/>
        </w:rPr>
        <w:t>echilibrare</w:t>
      </w:r>
      <w:r w:rsidRPr="000D729C">
        <w:rPr>
          <w:rFonts w:ascii="Times New Roman" w:hAnsi="Times New Roman" w:cs="Times New Roman"/>
          <w:sz w:val="24"/>
          <w:szCs w:val="24"/>
        </w:rPr>
        <w:t xml:space="preserve"> care să permită gestionarea dezechilibrelor, validarea ofertelor, derularea sesiunilor de tranzacționare și decontarea tranzacțiilor. Aceste servicii sunt indispensabile pentru funcționarea corectă a pieței, respectarea cadrului de reglementare și asigurarea operării sigure și eficiente a sistemului de transport gaze.</w:t>
      </w:r>
    </w:p>
    <w:p w14:paraId="2B80E24D" w14:textId="5729EA03" w:rsidR="000E179C" w:rsidRPr="000D729C" w:rsidRDefault="005B5989" w:rsidP="00FE0C72">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Platforma de </w:t>
      </w:r>
      <w:r w:rsidR="00FE0C72" w:rsidRPr="000D729C">
        <w:rPr>
          <w:rFonts w:ascii="Times New Roman" w:hAnsi="Times New Roman" w:cs="Times New Roman"/>
          <w:sz w:val="24"/>
          <w:szCs w:val="24"/>
        </w:rPr>
        <w:t>e</w:t>
      </w:r>
      <w:r w:rsidRPr="000D729C">
        <w:rPr>
          <w:rFonts w:ascii="Times New Roman" w:hAnsi="Times New Roman" w:cs="Times New Roman"/>
          <w:sz w:val="24"/>
          <w:szCs w:val="24"/>
        </w:rPr>
        <w:t>chilibrare este un instrument util pentru participanții la piață, conferind părților responsabile de echilibrare un rol activ și primordial în managementul poziției proprii de dezechilibru.</w:t>
      </w:r>
    </w:p>
    <w:p w14:paraId="5CFD5A93" w14:textId="0E2F1792" w:rsidR="00FE0C72" w:rsidRPr="000D729C" w:rsidRDefault="000E179C">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Scopul pieței de echilibrare este tranzacționarea cantităților de gaze naturale, provenite din dezechilibrul zilnic </w:t>
      </w:r>
      <w:r w:rsidR="0039782C" w:rsidRPr="000D729C">
        <w:rPr>
          <w:rFonts w:ascii="Times New Roman" w:hAnsi="Times New Roman" w:cs="Times New Roman"/>
          <w:sz w:val="24"/>
          <w:szCs w:val="24"/>
        </w:rPr>
        <w:t>inițial</w:t>
      </w:r>
      <w:r w:rsidRPr="000D729C">
        <w:rPr>
          <w:rFonts w:ascii="Times New Roman" w:hAnsi="Times New Roman" w:cs="Times New Roman"/>
          <w:sz w:val="24"/>
          <w:szCs w:val="24"/>
        </w:rPr>
        <w:t xml:space="preserve"> al PRE, în scopul echilibrării comerciale a acestuia, fiind necesar ca terța parte desemnată de OST (</w:t>
      </w:r>
      <w:r w:rsidR="00FE0C72" w:rsidRPr="000D729C">
        <w:rPr>
          <w:rFonts w:ascii="Times New Roman" w:hAnsi="Times New Roman" w:cs="Times New Roman"/>
          <w:sz w:val="24"/>
          <w:szCs w:val="24"/>
        </w:rPr>
        <w:t>„</w:t>
      </w:r>
      <w:r w:rsidRPr="000D729C">
        <w:rPr>
          <w:rFonts w:ascii="Times New Roman" w:hAnsi="Times New Roman" w:cs="Times New Roman"/>
          <w:sz w:val="24"/>
          <w:szCs w:val="24"/>
        </w:rPr>
        <w:t xml:space="preserve">Operatorul PE”) să intermedieze tranzacțiile efectuate pe piața de echilibrare conform unei </w:t>
      </w:r>
      <w:r w:rsidRPr="000D729C">
        <w:rPr>
          <w:rFonts w:ascii="Times New Roman" w:hAnsi="Times New Roman" w:cs="Times New Roman"/>
          <w:i/>
          <w:sz w:val="24"/>
          <w:szCs w:val="24"/>
        </w:rPr>
        <w:t>Procedurii de tranzacționare</w:t>
      </w:r>
      <w:r w:rsidR="00FE0C72" w:rsidRPr="000D729C">
        <w:rPr>
          <w:rFonts w:ascii="Times New Roman" w:hAnsi="Times New Roman" w:cs="Times New Roman"/>
          <w:sz w:val="24"/>
          <w:szCs w:val="24"/>
        </w:rPr>
        <w:t>.</w:t>
      </w:r>
      <w:r w:rsidR="005355A2" w:rsidRPr="000D729C">
        <w:rPr>
          <w:rFonts w:ascii="Times New Roman" w:hAnsi="Times New Roman" w:cs="Times New Roman"/>
          <w:sz w:val="24"/>
          <w:szCs w:val="24"/>
        </w:rPr>
        <w:t xml:space="preserve"> </w:t>
      </w:r>
    </w:p>
    <w:p w14:paraId="3FA7E746" w14:textId="77777777" w:rsidR="005355A2" w:rsidRPr="000D729C" w:rsidRDefault="005355A2">
      <w:pPr>
        <w:pStyle w:val="BodyText"/>
        <w:spacing w:before="2" w:line="276" w:lineRule="auto"/>
        <w:ind w:firstLine="567"/>
        <w:jc w:val="both"/>
        <w:rPr>
          <w:rFonts w:ascii="Times New Roman" w:hAnsi="Times New Roman" w:cs="Times New Roman"/>
          <w:sz w:val="24"/>
          <w:szCs w:val="24"/>
        </w:rPr>
      </w:pPr>
    </w:p>
    <w:p w14:paraId="7268877F" w14:textId="77777777" w:rsidR="00866750" w:rsidRPr="000D729C" w:rsidRDefault="00866750">
      <w:pPr>
        <w:pStyle w:val="BodyText"/>
        <w:spacing w:before="2" w:line="276" w:lineRule="auto"/>
        <w:ind w:firstLine="567"/>
        <w:jc w:val="both"/>
        <w:rPr>
          <w:rFonts w:ascii="Times New Roman" w:hAnsi="Times New Roman" w:cs="Times New Roman"/>
          <w:sz w:val="24"/>
          <w:szCs w:val="24"/>
        </w:rPr>
      </w:pPr>
    </w:p>
    <w:p w14:paraId="310F8DEC" w14:textId="726532A6" w:rsidR="000E179C" w:rsidRPr="000D729C" w:rsidRDefault="000E179C" w:rsidP="004A17FD">
      <w:pPr>
        <w:pStyle w:val="Heading2"/>
        <w:numPr>
          <w:ilvl w:val="2"/>
          <w:numId w:val="7"/>
        </w:numPr>
        <w:tabs>
          <w:tab w:val="left" w:pos="567"/>
        </w:tabs>
        <w:spacing w:before="7" w:line="276" w:lineRule="auto"/>
        <w:ind w:hanging="3330"/>
        <w:rPr>
          <w:rFonts w:ascii="Times New Roman" w:hAnsi="Times New Roman" w:cs="Times New Roman"/>
          <w:b w:val="0"/>
          <w:bCs w:val="0"/>
          <w:sz w:val="24"/>
          <w:szCs w:val="24"/>
        </w:rPr>
      </w:pPr>
      <w:r w:rsidRPr="000D729C">
        <w:rPr>
          <w:rFonts w:ascii="Times New Roman" w:hAnsi="Times New Roman" w:cs="Times New Roman"/>
          <w:sz w:val="24"/>
          <w:szCs w:val="24"/>
        </w:rPr>
        <w:t>Principiile generale</w:t>
      </w:r>
      <w:r w:rsidR="00CE5C54" w:rsidRPr="000D729C">
        <w:rPr>
          <w:rFonts w:ascii="Times New Roman" w:hAnsi="Times New Roman" w:cs="Times New Roman"/>
          <w:sz w:val="24"/>
          <w:szCs w:val="24"/>
        </w:rPr>
        <w:t xml:space="preserve"> de utilizare a</w:t>
      </w:r>
      <w:r w:rsidRPr="000D729C">
        <w:rPr>
          <w:rFonts w:ascii="Times New Roman" w:hAnsi="Times New Roman" w:cs="Times New Roman"/>
          <w:sz w:val="24"/>
          <w:szCs w:val="24"/>
        </w:rPr>
        <w:t xml:space="preserve"> platformei de echilibrare (PE):</w:t>
      </w:r>
    </w:p>
    <w:p w14:paraId="3CC45B98" w14:textId="7E47C9A5"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Participarea la tranzacționare este anonimă și este permis</w:t>
      </w:r>
      <w:r w:rsidR="00E22542" w:rsidRPr="000D729C">
        <w:rPr>
          <w:rFonts w:ascii="Times New Roman" w:hAnsi="Times New Roman" w:cs="Times New Roman"/>
          <w:sz w:val="24"/>
          <w:szCs w:val="24"/>
        </w:rPr>
        <w:t>ă</w:t>
      </w:r>
      <w:r w:rsidRPr="000D729C">
        <w:rPr>
          <w:rFonts w:ascii="Times New Roman" w:hAnsi="Times New Roman" w:cs="Times New Roman"/>
          <w:sz w:val="24"/>
          <w:szCs w:val="24"/>
        </w:rPr>
        <w:t xml:space="preserve"> participanților la PE </w:t>
      </w:r>
      <w:r w:rsidR="00E22542" w:rsidRPr="000D729C">
        <w:rPr>
          <w:rFonts w:ascii="Times New Roman" w:hAnsi="Times New Roman" w:cs="Times New Roman"/>
          <w:sz w:val="24"/>
          <w:szCs w:val="24"/>
        </w:rPr>
        <w:t>î</w:t>
      </w:r>
      <w:r w:rsidRPr="000D729C">
        <w:rPr>
          <w:rFonts w:ascii="Times New Roman" w:hAnsi="Times New Roman" w:cs="Times New Roman"/>
          <w:sz w:val="24"/>
          <w:szCs w:val="24"/>
        </w:rPr>
        <w:t xml:space="preserve">n limita garanțiilor de validare calculate înainte de începutul sesiunii de tranzacționare. </w:t>
      </w:r>
    </w:p>
    <w:p w14:paraId="53FAAD49" w14:textId="2E63FD58"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OST comunic</w:t>
      </w:r>
      <w:r w:rsidR="00E22542" w:rsidRPr="000D729C">
        <w:rPr>
          <w:rFonts w:ascii="Times New Roman" w:hAnsi="Times New Roman" w:cs="Times New Roman"/>
          <w:sz w:val="24"/>
          <w:szCs w:val="24"/>
        </w:rPr>
        <w:t>ă</w:t>
      </w:r>
      <w:r w:rsidRPr="000D729C">
        <w:rPr>
          <w:rFonts w:ascii="Times New Roman" w:hAnsi="Times New Roman" w:cs="Times New Roman"/>
          <w:sz w:val="24"/>
          <w:szCs w:val="24"/>
        </w:rPr>
        <w:t xml:space="preserve"> </w:t>
      </w:r>
      <w:r w:rsidRPr="000D729C">
        <w:rPr>
          <w:rFonts w:ascii="Times New Roman" w:hAnsi="Times New Roman" w:cs="Times New Roman"/>
          <w:b/>
          <w:sz w:val="24"/>
          <w:szCs w:val="24"/>
        </w:rPr>
        <w:t>operatorului PE</w:t>
      </w:r>
      <w:r w:rsidRPr="000D729C">
        <w:rPr>
          <w:rFonts w:ascii="Times New Roman" w:hAnsi="Times New Roman" w:cs="Times New Roman"/>
          <w:sz w:val="24"/>
          <w:szCs w:val="24"/>
        </w:rPr>
        <w:t xml:space="preserve"> dezechilibrele participanților la PE. </w:t>
      </w:r>
    </w:p>
    <w:p w14:paraId="52D6A5E8" w14:textId="74D725DB"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PRE pot introduce pentru ziua D, ordine de vânzare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 xml:space="preserve">i cumpărare doar în sensul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i în limita dezechilibrului zilnic comunicat de OST, denumite oferte.</w:t>
      </w:r>
    </w:p>
    <w:p w14:paraId="0FA78DB3" w14:textId="7FF47276"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Pentru ziua gazieră D, participanții pot introduce mai multe oferte distincte, dar suma totală a </w:t>
      </w:r>
      <w:r w:rsidR="0039782C" w:rsidRPr="000D729C">
        <w:rPr>
          <w:rFonts w:ascii="Times New Roman" w:hAnsi="Times New Roman" w:cs="Times New Roman"/>
          <w:sz w:val="24"/>
          <w:szCs w:val="24"/>
        </w:rPr>
        <w:t>cantităților</w:t>
      </w:r>
      <w:r w:rsidRPr="000D729C">
        <w:rPr>
          <w:rFonts w:ascii="Times New Roman" w:hAnsi="Times New Roman" w:cs="Times New Roman"/>
          <w:sz w:val="24"/>
          <w:szCs w:val="24"/>
        </w:rPr>
        <w:t xml:space="preserve"> ofertate nu poate să depășească dezechilibrul zilnic comunicat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 xml:space="preserve">i ofertele pot fi doar pe sensul acestuia, respectiv vânzare în caz de </w:t>
      </w:r>
      <w:r w:rsidR="00FE0C72" w:rsidRPr="000D729C">
        <w:rPr>
          <w:rFonts w:ascii="Times New Roman" w:hAnsi="Times New Roman" w:cs="Times New Roman"/>
          <w:sz w:val="24"/>
          <w:szCs w:val="24"/>
        </w:rPr>
        <w:t>„</w:t>
      </w:r>
      <w:r w:rsidRPr="000D729C">
        <w:rPr>
          <w:rFonts w:ascii="Times New Roman" w:hAnsi="Times New Roman" w:cs="Times New Roman"/>
          <w:sz w:val="24"/>
          <w:szCs w:val="24"/>
        </w:rPr>
        <w:t xml:space="preserve">excedent“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i cumpărare în caz de „deficit“.</w:t>
      </w:r>
    </w:p>
    <w:p w14:paraId="29F3CC64" w14:textId="77777777"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Ofertele introduse de participantul la PE reprezintă angajamente ferme ale respectivului participant la PE, care este direct răspunzător pentru corectitudinea datelor introduse.</w:t>
      </w:r>
    </w:p>
    <w:p w14:paraId="08F4F34B" w14:textId="75A1E98D"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Sistemul de tranzacționare compară în mod automat cantitatea fiecărei oferte de cumpărare/vânzare cu cantitatea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 xml:space="preserve">i sensul dezechilibrului zilnic iniţial al PRE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i invalidează automat oferta în cazul în care cantitatea sau suma cantităţilor din ofertele introduse până la acel moment, în cazul în care PRE a introdus mai multe oferte, depășește cantitatea aferentă dezechilibrului zilnic iniţial al PRE sau nu este introdusă pe sensul dezechilibrului, respectiv ofertă de cumpărare în caz de „deficit“ sau ofertă de vânzare în caz de „excedent“.</w:t>
      </w:r>
    </w:p>
    <w:p w14:paraId="38264B5B" w14:textId="44968972"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Sistemul de tranzacționare compară în mod automat valoarea fiecărei oferte de cumpărare introduse, calculată ca produs între preţul oferit şi cantitatea ofertată, cu</w:t>
      </w:r>
      <w:r w:rsidRPr="000D729C">
        <w:rPr>
          <w:rFonts w:ascii="Times New Roman" w:hAnsi="Times New Roman" w:cs="Times New Roman"/>
          <w:i/>
          <w:sz w:val="24"/>
          <w:szCs w:val="24"/>
        </w:rPr>
        <w:t xml:space="preserve"> garanţia de validare/disponibilă</w:t>
      </w:r>
      <w:r w:rsidRPr="000D729C">
        <w:rPr>
          <w:rFonts w:ascii="Times New Roman" w:hAnsi="Times New Roman" w:cs="Times New Roman"/>
          <w:sz w:val="24"/>
          <w:szCs w:val="24"/>
        </w:rPr>
        <w:t xml:space="preserve">, aferentă participantului la PE, </w:t>
      </w:r>
      <w:r w:rsidR="00E22542" w:rsidRPr="000D729C">
        <w:rPr>
          <w:rFonts w:ascii="Times New Roman" w:hAnsi="Times New Roman" w:cs="Times New Roman"/>
          <w:sz w:val="24"/>
          <w:szCs w:val="24"/>
        </w:rPr>
        <w:t>ș</w:t>
      </w:r>
      <w:r w:rsidRPr="000D729C">
        <w:rPr>
          <w:rFonts w:ascii="Times New Roman" w:hAnsi="Times New Roman" w:cs="Times New Roman"/>
          <w:sz w:val="24"/>
          <w:szCs w:val="24"/>
        </w:rPr>
        <w:t xml:space="preserve">i invalidează automat oferta, în cazul în care valoarea acesteia </w:t>
      </w:r>
      <w:r w:rsidR="0039782C" w:rsidRPr="000D729C">
        <w:rPr>
          <w:rFonts w:ascii="Times New Roman" w:hAnsi="Times New Roman" w:cs="Times New Roman"/>
          <w:sz w:val="24"/>
          <w:szCs w:val="24"/>
        </w:rPr>
        <w:t>depășește</w:t>
      </w:r>
      <w:r w:rsidRPr="000D729C">
        <w:rPr>
          <w:rFonts w:ascii="Times New Roman" w:hAnsi="Times New Roman" w:cs="Times New Roman"/>
          <w:sz w:val="24"/>
          <w:szCs w:val="24"/>
        </w:rPr>
        <w:t xml:space="preserve"> valoarea </w:t>
      </w:r>
      <w:r w:rsidR="0039782C" w:rsidRPr="000D729C">
        <w:rPr>
          <w:rFonts w:ascii="Times New Roman" w:hAnsi="Times New Roman" w:cs="Times New Roman"/>
          <w:sz w:val="24"/>
          <w:szCs w:val="24"/>
        </w:rPr>
        <w:t>garanției</w:t>
      </w:r>
      <w:r w:rsidRPr="000D729C">
        <w:rPr>
          <w:rFonts w:ascii="Times New Roman" w:hAnsi="Times New Roman" w:cs="Times New Roman"/>
          <w:sz w:val="24"/>
          <w:szCs w:val="24"/>
        </w:rPr>
        <w:t xml:space="preserve"> de validare/disponibilă.</w:t>
      </w:r>
    </w:p>
    <w:p w14:paraId="3025A3FF" w14:textId="3B711987"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Pe tot parcursul acestei etape, </w:t>
      </w:r>
      <w:r w:rsidR="0039782C" w:rsidRPr="000D729C">
        <w:rPr>
          <w:rFonts w:ascii="Times New Roman" w:hAnsi="Times New Roman" w:cs="Times New Roman"/>
          <w:sz w:val="24"/>
          <w:szCs w:val="24"/>
        </w:rPr>
        <w:t>participanții</w:t>
      </w:r>
      <w:r w:rsidRPr="000D729C">
        <w:rPr>
          <w:rFonts w:ascii="Times New Roman" w:hAnsi="Times New Roman" w:cs="Times New Roman"/>
          <w:sz w:val="24"/>
          <w:szCs w:val="24"/>
        </w:rPr>
        <w:t xml:space="preserve"> la PE pot introduce, respectiv modifica, suspenda, în vederea reactivării ulterioare, sau anula ofertele proprii existente în sistemul de tranzacţionare.</w:t>
      </w:r>
    </w:p>
    <w:p w14:paraId="2F11417C" w14:textId="77777777" w:rsidR="000E179C" w:rsidRPr="000D729C" w:rsidRDefault="000E179C" w:rsidP="004A17FD">
      <w:pPr>
        <w:pStyle w:val="ListParagraph"/>
        <w:numPr>
          <w:ilvl w:val="0"/>
          <w:numId w:val="16"/>
        </w:numPr>
        <w:tabs>
          <w:tab w:val="left" w:pos="851"/>
          <w:tab w:val="left" w:pos="993"/>
        </w:tabs>
        <w:spacing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Toţi participanţii la PE pot vizualiza în sistemul de tranzacţionare, în orice moment al sesiunii de tranzacţionare, ofertele de cumpărare şi ofertele de vânzare ordonate după preţ, cu păstrarea anonimatului participanţilor care au introdus aceste oferte. Ofertele proprii sunt marcate distinct în ecranul participantului.</w:t>
      </w:r>
    </w:p>
    <w:p w14:paraId="4409EF57" w14:textId="4CC32F7E"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După încheierea etapei de transmitere a ofertelor, sistemul de tranzacţionare al PE, stabileşte prin algoritm de corelare aplicat în mod automat preţul de echilibru, denumit </w:t>
      </w:r>
      <w:r w:rsidRPr="000D729C">
        <w:rPr>
          <w:rFonts w:ascii="Times New Roman" w:hAnsi="Times New Roman" w:cs="Times New Roman"/>
          <w:i/>
          <w:sz w:val="24"/>
          <w:szCs w:val="24"/>
        </w:rPr>
        <w:t>preţul de închidere al pieţei</w:t>
      </w:r>
      <w:r w:rsidR="008270DE" w:rsidRPr="000D729C">
        <w:rPr>
          <w:rFonts w:ascii="Times New Roman" w:hAnsi="Times New Roman" w:cs="Times New Roman"/>
          <w:sz w:val="24"/>
          <w:szCs w:val="24"/>
        </w:rPr>
        <w:t xml:space="preserve"> (</w:t>
      </w:r>
      <w:r w:rsidR="00251A69" w:rsidRPr="000D729C">
        <w:rPr>
          <w:rFonts w:ascii="Times New Roman" w:hAnsi="Times New Roman" w:cs="Times New Roman"/>
          <w:sz w:val="24"/>
          <w:szCs w:val="24"/>
        </w:rPr>
        <w:t>PIP</w:t>
      </w:r>
      <w:r w:rsidR="008270DE" w:rsidRPr="000D729C">
        <w:rPr>
          <w:rFonts w:ascii="Times New Roman" w:hAnsi="Times New Roman" w:cs="Times New Roman"/>
          <w:sz w:val="24"/>
          <w:szCs w:val="24"/>
        </w:rPr>
        <w:t>)</w:t>
      </w:r>
      <w:r w:rsidRPr="000D729C">
        <w:rPr>
          <w:rFonts w:ascii="Times New Roman" w:hAnsi="Times New Roman" w:cs="Times New Roman"/>
          <w:sz w:val="24"/>
          <w:szCs w:val="24"/>
        </w:rPr>
        <w:t>.</w:t>
      </w:r>
    </w:p>
    <w:p w14:paraId="4C2FA669" w14:textId="47102A2D" w:rsidR="000E179C" w:rsidRPr="000D729C" w:rsidRDefault="000E179C" w:rsidP="004A17FD">
      <w:pPr>
        <w:pStyle w:val="BodyText"/>
        <w:numPr>
          <w:ilvl w:val="0"/>
          <w:numId w:val="16"/>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Ofertele compatibile pentru încheierea de tranzacţii sunt stabilite în mod automat de sistemul de tranzacţionare al PE, respectiv ofertele care propun preţuri de cumpărare mai mari sau cel puţin egale cu </w:t>
      </w:r>
      <w:r w:rsidR="00251A69" w:rsidRPr="000D729C">
        <w:rPr>
          <w:rFonts w:ascii="Times New Roman" w:hAnsi="Times New Roman" w:cs="Times New Roman"/>
          <w:sz w:val="24"/>
          <w:szCs w:val="24"/>
        </w:rPr>
        <w:t>PIP</w:t>
      </w:r>
      <w:r w:rsidRPr="000D729C">
        <w:rPr>
          <w:rFonts w:ascii="Times New Roman" w:hAnsi="Times New Roman" w:cs="Times New Roman"/>
          <w:sz w:val="24"/>
          <w:szCs w:val="24"/>
        </w:rPr>
        <w:t xml:space="preserve"> şi ofertele de vânzare care propun preţuri mai mici sau cel mult egale cu </w:t>
      </w:r>
      <w:r w:rsidR="00251A69" w:rsidRPr="000D729C">
        <w:rPr>
          <w:rFonts w:ascii="Times New Roman" w:hAnsi="Times New Roman" w:cs="Times New Roman"/>
          <w:sz w:val="24"/>
          <w:szCs w:val="24"/>
        </w:rPr>
        <w:t>PIP</w:t>
      </w:r>
      <w:r w:rsidRPr="000D729C">
        <w:rPr>
          <w:rFonts w:ascii="Times New Roman" w:hAnsi="Times New Roman" w:cs="Times New Roman"/>
          <w:sz w:val="24"/>
          <w:szCs w:val="24"/>
        </w:rPr>
        <w:t>.</w:t>
      </w:r>
    </w:p>
    <w:p w14:paraId="5B0FE0C3" w14:textId="687B4BDE" w:rsidR="000E179C" w:rsidRPr="000D729C" w:rsidRDefault="000E179C" w:rsidP="004A17FD">
      <w:pPr>
        <w:pStyle w:val="BodyText"/>
        <w:numPr>
          <w:ilvl w:val="0"/>
          <w:numId w:val="16"/>
        </w:numPr>
        <w:tabs>
          <w:tab w:val="left" w:pos="851"/>
        </w:tabs>
        <w:spacing w:before="2" w:line="276" w:lineRule="auto"/>
        <w:ind w:left="0" w:firstLine="426"/>
        <w:jc w:val="both"/>
        <w:rPr>
          <w:rFonts w:ascii="Times New Roman" w:hAnsi="Times New Roman" w:cs="Times New Roman"/>
          <w:sz w:val="24"/>
          <w:szCs w:val="24"/>
        </w:rPr>
      </w:pPr>
      <w:r w:rsidRPr="000D729C">
        <w:rPr>
          <w:rFonts w:ascii="Times New Roman" w:hAnsi="Times New Roman" w:cs="Times New Roman"/>
          <w:sz w:val="24"/>
          <w:szCs w:val="24"/>
        </w:rPr>
        <w:t xml:space="preserve">Ofertele compatibile se tranzacţionează la </w:t>
      </w:r>
      <w:r w:rsidR="00251A69" w:rsidRPr="000D729C">
        <w:rPr>
          <w:rFonts w:ascii="Times New Roman" w:hAnsi="Times New Roman" w:cs="Times New Roman"/>
          <w:sz w:val="24"/>
          <w:szCs w:val="24"/>
        </w:rPr>
        <w:t>PIP</w:t>
      </w:r>
      <w:r w:rsidRPr="000D729C">
        <w:rPr>
          <w:rFonts w:ascii="Times New Roman" w:hAnsi="Times New Roman" w:cs="Times New Roman"/>
          <w:sz w:val="24"/>
          <w:szCs w:val="24"/>
        </w:rPr>
        <w:t>.</w:t>
      </w:r>
    </w:p>
    <w:p w14:paraId="0B2E71C9" w14:textId="77777777" w:rsidR="000E179C" w:rsidRPr="000D729C" w:rsidRDefault="000E179C" w:rsidP="00FE0C72">
      <w:pPr>
        <w:pStyle w:val="BodyText"/>
        <w:spacing w:before="2" w:line="276" w:lineRule="auto"/>
        <w:ind w:firstLine="567"/>
        <w:jc w:val="both"/>
        <w:rPr>
          <w:rFonts w:ascii="Times New Roman" w:hAnsi="Times New Roman" w:cs="Times New Roman"/>
          <w:sz w:val="24"/>
          <w:szCs w:val="24"/>
        </w:rPr>
      </w:pPr>
    </w:p>
    <w:p w14:paraId="0FCFD070" w14:textId="7A1D6991" w:rsidR="000E179C" w:rsidRPr="000D729C" w:rsidRDefault="005B5989" w:rsidP="004A17FD">
      <w:pPr>
        <w:pStyle w:val="Heading2"/>
        <w:numPr>
          <w:ilvl w:val="2"/>
          <w:numId w:val="7"/>
        </w:numPr>
        <w:tabs>
          <w:tab w:val="left" w:pos="567"/>
        </w:tabs>
        <w:spacing w:before="7" w:line="276" w:lineRule="auto"/>
        <w:ind w:hanging="3330"/>
        <w:rPr>
          <w:rFonts w:ascii="Times New Roman" w:hAnsi="Times New Roman" w:cs="Times New Roman"/>
          <w:sz w:val="24"/>
          <w:szCs w:val="24"/>
        </w:rPr>
      </w:pPr>
      <w:r w:rsidRPr="000D729C">
        <w:rPr>
          <w:rFonts w:ascii="Times New Roman" w:hAnsi="Times New Roman" w:cs="Times New Roman"/>
          <w:sz w:val="24"/>
          <w:szCs w:val="24"/>
        </w:rPr>
        <w:t>Sesiunile de tranzacționare</w:t>
      </w:r>
      <w:r w:rsidR="000E179C" w:rsidRPr="000D729C">
        <w:rPr>
          <w:rFonts w:ascii="Times New Roman" w:hAnsi="Times New Roman" w:cs="Times New Roman"/>
          <w:sz w:val="24"/>
          <w:szCs w:val="24"/>
        </w:rPr>
        <w:t>:</w:t>
      </w:r>
    </w:p>
    <w:p w14:paraId="327C16CE" w14:textId="77777777" w:rsidR="000E179C" w:rsidRPr="000D729C" w:rsidRDefault="000E179C" w:rsidP="004A17FD">
      <w:pPr>
        <w:pStyle w:val="BodyText"/>
        <w:numPr>
          <w:ilvl w:val="0"/>
          <w:numId w:val="11"/>
        </w:numPr>
        <w:tabs>
          <w:tab w:val="left" w:pos="851"/>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Etapa de deschidere a pieţei de echilibrare şi de transmitere a ofertelor, pentru tranzacționarea dezechilibrelor are loc începând cu data de 14 a lunii M+1 până în data de 15 a lunii M+1, sesiunea de tranzacţionare se organizează pentru fiecare zi gazieră din cadrul lunii,</w:t>
      </w:r>
    </w:p>
    <w:p w14:paraId="5D83A690" w14:textId="566BDAF1" w:rsidR="000E179C" w:rsidRPr="000D729C" w:rsidRDefault="000E179C" w:rsidP="004A17FD">
      <w:pPr>
        <w:pStyle w:val="BodyText"/>
        <w:numPr>
          <w:ilvl w:val="0"/>
          <w:numId w:val="11"/>
        </w:numPr>
        <w:tabs>
          <w:tab w:val="left" w:pos="851"/>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Ins</w:t>
      </w:r>
      <w:r w:rsidR="005B5989" w:rsidRPr="000D729C">
        <w:rPr>
          <w:rFonts w:ascii="Times New Roman" w:hAnsi="Times New Roman" w:cs="Times New Roman"/>
          <w:sz w:val="24"/>
          <w:szCs w:val="24"/>
        </w:rPr>
        <w:t>trumentul aferent fiecărei zile</w:t>
      </w:r>
      <w:r w:rsidRPr="000D729C">
        <w:rPr>
          <w:rFonts w:ascii="Times New Roman" w:hAnsi="Times New Roman" w:cs="Times New Roman"/>
          <w:sz w:val="24"/>
          <w:szCs w:val="24"/>
        </w:rPr>
        <w:t xml:space="preserve"> gaziere de livrare D este disponibil în sistemul de tranzacţionare al pieţei de echilibrare, pentru introducerea ofertelor, pentru fiecare zi D.</w:t>
      </w:r>
    </w:p>
    <w:p w14:paraId="1E99D854" w14:textId="77777777" w:rsidR="000E179C" w:rsidRPr="000D729C" w:rsidRDefault="000E179C" w:rsidP="00B1546B">
      <w:pPr>
        <w:pStyle w:val="BodyText"/>
        <w:spacing w:before="2" w:line="276" w:lineRule="auto"/>
        <w:ind w:firstLine="567"/>
        <w:jc w:val="both"/>
        <w:rPr>
          <w:rFonts w:ascii="Times New Roman" w:hAnsi="Times New Roman" w:cs="Times New Roman"/>
          <w:sz w:val="24"/>
          <w:szCs w:val="24"/>
        </w:rPr>
      </w:pPr>
    </w:p>
    <w:p w14:paraId="0F0CC537" w14:textId="77777777" w:rsidR="000E179C" w:rsidRPr="000D729C" w:rsidRDefault="000E179C" w:rsidP="00B1546B">
      <w:pPr>
        <w:pStyle w:val="BodyText"/>
        <w:spacing w:before="2" w:line="276" w:lineRule="auto"/>
        <w:ind w:firstLine="567"/>
        <w:jc w:val="both"/>
        <w:rPr>
          <w:rFonts w:ascii="Times New Roman" w:hAnsi="Times New Roman" w:cs="Times New Roman"/>
          <w:bCs/>
          <w:sz w:val="24"/>
          <w:szCs w:val="24"/>
        </w:rPr>
      </w:pPr>
      <w:r w:rsidRPr="000D729C">
        <w:rPr>
          <w:rFonts w:ascii="Times New Roman" w:hAnsi="Times New Roman" w:cs="Times New Roman"/>
          <w:bCs/>
          <w:sz w:val="24"/>
          <w:szCs w:val="24"/>
        </w:rPr>
        <w:t>Implementarea Platformei de Echilibrare are rolul de a asigura:</w:t>
      </w:r>
    </w:p>
    <w:p w14:paraId="77F69962" w14:textId="77777777" w:rsidR="000E179C" w:rsidRPr="000D729C" w:rsidRDefault="000E179C" w:rsidP="004A17FD">
      <w:pPr>
        <w:pStyle w:val="BodyText"/>
        <w:numPr>
          <w:ilvl w:val="0"/>
          <w:numId w:val="12"/>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lastRenderedPageBreak/>
        <w:t>Echilibrarea portofoliilor individuale ale utilizatorilor de sistem, precum și menținerea stării generale de echilibru la nivelul sistemului de transport, în vederea asigurării continuității și securității serviciului de transport al gazelor naturale;</w:t>
      </w:r>
    </w:p>
    <w:p w14:paraId="4A672C9A" w14:textId="77777777" w:rsidR="000E179C" w:rsidRPr="000D729C" w:rsidRDefault="000E179C" w:rsidP="004A17FD">
      <w:pPr>
        <w:pStyle w:val="BodyText"/>
        <w:numPr>
          <w:ilvl w:val="0"/>
          <w:numId w:val="12"/>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Stimularea pieței de gaze naturale pe termen scurt;</w:t>
      </w:r>
    </w:p>
    <w:p w14:paraId="7326EE47" w14:textId="77777777" w:rsidR="000E179C" w:rsidRPr="000D729C" w:rsidRDefault="000E179C" w:rsidP="004A17FD">
      <w:pPr>
        <w:pStyle w:val="BodyText"/>
        <w:numPr>
          <w:ilvl w:val="0"/>
          <w:numId w:val="12"/>
        </w:numPr>
        <w:tabs>
          <w:tab w:val="left" w:pos="851"/>
          <w:tab w:val="left" w:pos="993"/>
        </w:tabs>
        <w:spacing w:before="2"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Creșterea lichidității pieței, cu efectul diminuării treptate a dependenței utilizatorilor de sistem de instrumentele de echilibrare oferite de către OST.</w:t>
      </w:r>
    </w:p>
    <w:p w14:paraId="5F28606F" w14:textId="77777777" w:rsidR="000E179C" w:rsidRPr="000D729C" w:rsidRDefault="000E179C" w:rsidP="000E179C">
      <w:pPr>
        <w:pStyle w:val="BodyText"/>
        <w:spacing w:before="2" w:line="276" w:lineRule="auto"/>
        <w:ind w:firstLine="720"/>
        <w:jc w:val="both"/>
        <w:rPr>
          <w:rFonts w:ascii="Times New Roman" w:hAnsi="Times New Roman" w:cs="Times New Roman"/>
          <w:sz w:val="24"/>
          <w:szCs w:val="24"/>
        </w:rPr>
      </w:pPr>
    </w:p>
    <w:p w14:paraId="2B0858B8" w14:textId="77777777" w:rsidR="000E179C" w:rsidRPr="000D729C" w:rsidRDefault="000E179C" w:rsidP="004A17FD">
      <w:pPr>
        <w:pStyle w:val="Heading2"/>
        <w:numPr>
          <w:ilvl w:val="1"/>
          <w:numId w:val="7"/>
        </w:numPr>
        <w:tabs>
          <w:tab w:val="left" w:pos="426"/>
        </w:tabs>
        <w:spacing w:before="7" w:line="276" w:lineRule="auto"/>
        <w:ind w:left="709" w:hanging="709"/>
        <w:rPr>
          <w:rFonts w:ascii="Times New Roman" w:hAnsi="Times New Roman" w:cs="Times New Roman"/>
          <w:sz w:val="24"/>
          <w:szCs w:val="24"/>
        </w:rPr>
      </w:pPr>
      <w:r w:rsidRPr="000D729C">
        <w:rPr>
          <w:rFonts w:ascii="Times New Roman" w:hAnsi="Times New Roman" w:cs="Times New Roman"/>
          <w:sz w:val="24"/>
          <w:szCs w:val="24"/>
        </w:rPr>
        <w:t>Plata provizorie pentru dezechilibru</w:t>
      </w:r>
    </w:p>
    <w:p w14:paraId="7A404EE0" w14:textId="77777777" w:rsidR="000E179C" w:rsidRPr="000D729C" w:rsidRDefault="000E179C" w:rsidP="00B1546B">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În a 16-a zi din luna M+1 pentru luna M, OST recalculează dezechilibrul zilnic final după tranzacțiile de pe PE cu luarea în considerare a tranzacțiilor efectuate în platforma de echilibrare cu formula:</w:t>
      </w:r>
    </w:p>
    <w:p w14:paraId="101EE4E2" w14:textId="77777777" w:rsidR="000E179C" w:rsidRPr="000D729C" w:rsidRDefault="000E179C" w:rsidP="000E179C">
      <w:pPr>
        <w:pStyle w:val="BodyText"/>
        <w:spacing w:before="2" w:line="276" w:lineRule="auto"/>
        <w:jc w:val="center"/>
        <w:rPr>
          <w:rFonts w:ascii="Times New Roman" w:hAnsi="Times New Roman" w:cs="Times New Roman"/>
          <w:b/>
          <w:bCs/>
          <w:sz w:val="24"/>
          <w:szCs w:val="24"/>
        </w:rPr>
      </w:pPr>
      <w:r w:rsidRPr="000D729C">
        <w:rPr>
          <w:rFonts w:ascii="Times New Roman" w:hAnsi="Times New Roman" w:cs="Times New Roman"/>
          <w:b/>
          <w:bCs/>
          <w:sz w:val="24"/>
          <w:szCs w:val="24"/>
        </w:rPr>
        <w:t>Q</w:t>
      </w:r>
      <w:r w:rsidRPr="000D729C">
        <w:rPr>
          <w:rFonts w:ascii="Times New Roman" w:hAnsi="Times New Roman" w:cs="Times New Roman"/>
          <w:b/>
          <w:bCs/>
          <w:sz w:val="24"/>
          <w:szCs w:val="24"/>
          <w:vertAlign w:val="subscript"/>
        </w:rPr>
        <w:t>D</w:t>
      </w:r>
      <w:r w:rsidRPr="000D729C">
        <w:rPr>
          <w:rFonts w:ascii="Times New Roman" w:hAnsi="Times New Roman" w:cs="Times New Roman"/>
          <w:b/>
          <w:bCs/>
          <w:sz w:val="24"/>
          <w:szCs w:val="24"/>
        </w:rPr>
        <w:t xml:space="preserve"> = A</w:t>
      </w:r>
      <w:r w:rsidRPr="000D729C">
        <w:rPr>
          <w:rFonts w:ascii="Times New Roman" w:hAnsi="Times New Roman" w:cs="Times New Roman"/>
          <w:b/>
          <w:bCs/>
          <w:sz w:val="24"/>
          <w:szCs w:val="24"/>
          <w:vertAlign w:val="subscript"/>
        </w:rPr>
        <w:t>i</w:t>
      </w:r>
      <w:r w:rsidRPr="000D729C">
        <w:rPr>
          <w:rFonts w:ascii="Times New Roman" w:hAnsi="Times New Roman" w:cs="Times New Roman"/>
          <w:b/>
          <w:bCs/>
          <w:sz w:val="24"/>
          <w:szCs w:val="24"/>
        </w:rPr>
        <w:t xml:space="preserve"> + T</w:t>
      </w:r>
      <w:r w:rsidRPr="000D729C">
        <w:rPr>
          <w:rFonts w:ascii="Times New Roman" w:hAnsi="Times New Roman" w:cs="Times New Roman"/>
          <w:b/>
          <w:bCs/>
          <w:sz w:val="24"/>
          <w:szCs w:val="24"/>
          <w:vertAlign w:val="subscript"/>
        </w:rPr>
        <w:t>c</w:t>
      </w:r>
      <w:r w:rsidRPr="000D729C">
        <w:rPr>
          <w:rFonts w:ascii="Times New Roman" w:hAnsi="Times New Roman" w:cs="Times New Roman"/>
          <w:b/>
          <w:bCs/>
          <w:sz w:val="24"/>
          <w:szCs w:val="24"/>
        </w:rPr>
        <w:t xml:space="preserve"> + PE</w:t>
      </w:r>
      <w:r w:rsidRPr="000D729C">
        <w:rPr>
          <w:rFonts w:ascii="Times New Roman" w:hAnsi="Times New Roman" w:cs="Times New Roman"/>
          <w:b/>
          <w:bCs/>
          <w:sz w:val="24"/>
          <w:szCs w:val="24"/>
          <w:vertAlign w:val="subscript"/>
        </w:rPr>
        <w:t>c</w:t>
      </w:r>
      <w:r w:rsidRPr="000D729C">
        <w:rPr>
          <w:rFonts w:ascii="Times New Roman" w:hAnsi="Times New Roman" w:cs="Times New Roman"/>
          <w:b/>
          <w:bCs/>
          <w:sz w:val="24"/>
          <w:szCs w:val="24"/>
        </w:rPr>
        <w:t xml:space="preserve"> – T</w:t>
      </w:r>
      <w:r w:rsidRPr="000D729C">
        <w:rPr>
          <w:rFonts w:ascii="Times New Roman" w:hAnsi="Times New Roman" w:cs="Times New Roman"/>
          <w:b/>
          <w:bCs/>
          <w:sz w:val="24"/>
          <w:szCs w:val="24"/>
          <w:vertAlign w:val="subscript"/>
        </w:rPr>
        <w:t>v</w:t>
      </w:r>
      <w:r w:rsidRPr="000D729C">
        <w:rPr>
          <w:rFonts w:ascii="Times New Roman" w:hAnsi="Times New Roman" w:cs="Times New Roman"/>
          <w:b/>
          <w:bCs/>
          <w:sz w:val="24"/>
          <w:szCs w:val="24"/>
        </w:rPr>
        <w:t xml:space="preserve"> – PE</w:t>
      </w:r>
      <w:r w:rsidRPr="000D729C">
        <w:rPr>
          <w:rFonts w:ascii="Times New Roman" w:hAnsi="Times New Roman" w:cs="Times New Roman"/>
          <w:b/>
          <w:bCs/>
          <w:sz w:val="24"/>
          <w:szCs w:val="24"/>
          <w:vertAlign w:val="subscript"/>
        </w:rPr>
        <w:t>v</w:t>
      </w:r>
      <w:r w:rsidRPr="000D729C">
        <w:rPr>
          <w:rFonts w:ascii="Times New Roman" w:hAnsi="Times New Roman" w:cs="Times New Roman"/>
          <w:b/>
          <w:bCs/>
          <w:sz w:val="24"/>
          <w:szCs w:val="24"/>
        </w:rPr>
        <w:t xml:space="preserve"> - A</w:t>
      </w:r>
      <w:r w:rsidRPr="000D729C">
        <w:rPr>
          <w:rFonts w:ascii="Times New Roman" w:hAnsi="Times New Roman" w:cs="Times New Roman"/>
          <w:b/>
          <w:bCs/>
          <w:sz w:val="24"/>
          <w:szCs w:val="24"/>
          <w:vertAlign w:val="subscript"/>
        </w:rPr>
        <w:t xml:space="preserve">e </w:t>
      </w:r>
      <w:r w:rsidRPr="000D729C">
        <w:rPr>
          <w:rFonts w:ascii="Times New Roman" w:hAnsi="Times New Roman" w:cs="Times New Roman"/>
          <w:b/>
          <w:bCs/>
          <w:sz w:val="24"/>
          <w:szCs w:val="24"/>
        </w:rPr>
        <w:t>± Q</w:t>
      </w:r>
      <w:r w:rsidRPr="000D729C">
        <w:rPr>
          <w:rFonts w:ascii="Times New Roman" w:hAnsi="Times New Roman" w:cs="Times New Roman"/>
          <w:b/>
          <w:bCs/>
          <w:sz w:val="24"/>
          <w:szCs w:val="24"/>
          <w:vertAlign w:val="subscript"/>
        </w:rPr>
        <w:t>f</w:t>
      </w:r>
      <w:r w:rsidRPr="000D729C">
        <w:rPr>
          <w:rFonts w:ascii="Times New Roman" w:hAnsi="Times New Roman" w:cs="Times New Roman"/>
          <w:b/>
          <w:bCs/>
          <w:sz w:val="24"/>
          <w:szCs w:val="24"/>
        </w:rPr>
        <w:t xml:space="preserve">   </w:t>
      </w:r>
      <w:r w:rsidRPr="000D729C">
        <w:rPr>
          <w:rFonts w:ascii="Times New Roman" w:hAnsi="Times New Roman" w:cs="Times New Roman"/>
          <w:bCs/>
          <w:sz w:val="24"/>
          <w:szCs w:val="24"/>
        </w:rPr>
        <w:t>(2)</w:t>
      </w:r>
    </w:p>
    <w:p w14:paraId="0C3F6F2C" w14:textId="77777777" w:rsidR="000E179C" w:rsidRPr="000D729C" w:rsidRDefault="000E179C" w:rsidP="000E179C">
      <w:pPr>
        <w:pStyle w:val="BodyText"/>
        <w:spacing w:before="2" w:line="276" w:lineRule="auto"/>
        <w:jc w:val="both"/>
        <w:rPr>
          <w:rFonts w:ascii="Times New Roman" w:hAnsi="Times New Roman" w:cs="Times New Roman"/>
          <w:sz w:val="24"/>
          <w:szCs w:val="24"/>
        </w:rPr>
      </w:pPr>
      <w:r w:rsidRPr="000D729C">
        <w:rPr>
          <w:rFonts w:ascii="Times New Roman" w:hAnsi="Times New Roman" w:cs="Times New Roman"/>
          <w:sz w:val="24"/>
          <w:szCs w:val="24"/>
        </w:rPr>
        <w:t>în care:</w:t>
      </w:r>
    </w:p>
    <w:p w14:paraId="78989FE1" w14:textId="77779EA7" w:rsidR="000E179C" w:rsidRPr="000D729C" w:rsidRDefault="000E179C" w:rsidP="00B1546B">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b/>
          <w:bCs/>
          <w:sz w:val="24"/>
          <w:szCs w:val="24"/>
        </w:rPr>
        <w:t>PE</w:t>
      </w:r>
      <w:r w:rsidRPr="000D729C">
        <w:rPr>
          <w:rFonts w:ascii="Times New Roman" w:hAnsi="Times New Roman" w:cs="Times New Roman"/>
          <w:b/>
          <w:bCs/>
          <w:sz w:val="24"/>
          <w:szCs w:val="24"/>
          <w:vertAlign w:val="subscript"/>
        </w:rPr>
        <w:t>c</w:t>
      </w:r>
      <w:r w:rsidRPr="000D729C">
        <w:rPr>
          <w:rFonts w:ascii="Times New Roman" w:hAnsi="Times New Roman" w:cs="Times New Roman"/>
          <w:sz w:val="24"/>
          <w:szCs w:val="24"/>
        </w:rPr>
        <w:t xml:space="preserve"> - tranzacții de cumpărare în platforma de echilibrare;    </w:t>
      </w:r>
    </w:p>
    <w:p w14:paraId="123A8416" w14:textId="77777777" w:rsidR="000E179C" w:rsidRPr="000D729C" w:rsidRDefault="000E179C" w:rsidP="00B1546B">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b/>
          <w:bCs/>
          <w:sz w:val="24"/>
          <w:szCs w:val="24"/>
        </w:rPr>
        <w:t>PE</w:t>
      </w:r>
      <w:r w:rsidRPr="000D729C">
        <w:rPr>
          <w:rFonts w:ascii="Times New Roman" w:hAnsi="Times New Roman" w:cs="Times New Roman"/>
          <w:b/>
          <w:bCs/>
          <w:sz w:val="24"/>
          <w:szCs w:val="24"/>
          <w:vertAlign w:val="subscript"/>
        </w:rPr>
        <w:t>v</w:t>
      </w:r>
      <w:r w:rsidRPr="000D729C">
        <w:rPr>
          <w:rFonts w:ascii="Times New Roman" w:hAnsi="Times New Roman" w:cs="Times New Roman"/>
          <w:sz w:val="24"/>
          <w:szCs w:val="24"/>
        </w:rPr>
        <w:t xml:space="preserve"> - tranzacții de vânzare în platforma de echilibrare.</w:t>
      </w:r>
    </w:p>
    <w:p w14:paraId="69E9F184" w14:textId="77777777" w:rsidR="000E179C" w:rsidRPr="000D729C" w:rsidRDefault="000E179C" w:rsidP="000E179C">
      <w:pPr>
        <w:pStyle w:val="BodyText"/>
        <w:spacing w:before="2" w:line="276" w:lineRule="auto"/>
        <w:jc w:val="both"/>
        <w:rPr>
          <w:rFonts w:ascii="Times New Roman" w:hAnsi="Times New Roman" w:cs="Times New Roman"/>
          <w:sz w:val="24"/>
          <w:szCs w:val="24"/>
        </w:rPr>
      </w:pPr>
    </w:p>
    <w:p w14:paraId="4EE357A1" w14:textId="77777777" w:rsidR="000E179C" w:rsidRPr="000D729C" w:rsidRDefault="000E179C" w:rsidP="00B1546B">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Până în a 17-a zi gazieră a lunii M+1, OST calculează, pentru fiecare PRE, cantitățile de dezechilibru zilnic cumulate pentru toate zilele gaziere din luna precedentă M (cantitatea lunară de dezechilibru) și plata pentru dezechilibru zilnic cumulată pentru toate zilele gaziere din luna precedentă M (plata lunară netă pentru dezechilibru).</w:t>
      </w:r>
    </w:p>
    <w:p w14:paraId="6F9D5A16" w14:textId="77777777" w:rsidR="00295720" w:rsidRPr="000D729C" w:rsidRDefault="00295720" w:rsidP="00B1546B">
      <w:pPr>
        <w:pStyle w:val="BodyText"/>
        <w:spacing w:line="276" w:lineRule="auto"/>
        <w:ind w:firstLine="567"/>
        <w:jc w:val="both"/>
        <w:rPr>
          <w:rFonts w:ascii="Times New Roman" w:hAnsi="Times New Roman" w:cs="Times New Roman"/>
          <w:sz w:val="24"/>
          <w:szCs w:val="24"/>
        </w:rPr>
      </w:pPr>
    </w:p>
    <w:p w14:paraId="02A58CF0" w14:textId="393A8934" w:rsidR="000E179C" w:rsidRPr="000D729C" w:rsidRDefault="000E179C" w:rsidP="00B1546B">
      <w:pPr>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Plata pentru dezechilibru se bazează </w:t>
      </w:r>
      <w:r w:rsidRPr="000D729C">
        <w:rPr>
          <w:rFonts w:ascii="Times New Roman" w:hAnsi="Times New Roman" w:cs="Times New Roman"/>
          <w:b/>
          <w:sz w:val="24"/>
          <w:szCs w:val="24"/>
        </w:rPr>
        <w:t>pe cantitatea finală de dezechilibru</w:t>
      </w:r>
      <w:r w:rsidRPr="000D729C">
        <w:rPr>
          <w:rFonts w:ascii="Times New Roman" w:hAnsi="Times New Roman" w:cs="Times New Roman"/>
          <w:sz w:val="24"/>
          <w:szCs w:val="24"/>
        </w:rPr>
        <w:t>. În cazul în care PRE</w:t>
      </w:r>
      <w:r w:rsidRPr="000D729C" w:rsidDel="008E6697">
        <w:rPr>
          <w:rFonts w:ascii="Times New Roman" w:hAnsi="Times New Roman" w:cs="Times New Roman"/>
          <w:sz w:val="24"/>
          <w:szCs w:val="24"/>
        </w:rPr>
        <w:t xml:space="preserve"> </w:t>
      </w:r>
      <w:r w:rsidRPr="000D729C">
        <w:rPr>
          <w:rFonts w:ascii="Times New Roman" w:hAnsi="Times New Roman" w:cs="Times New Roman"/>
          <w:sz w:val="24"/>
          <w:szCs w:val="24"/>
        </w:rPr>
        <w:t xml:space="preserve">are </w:t>
      </w:r>
      <w:r w:rsidRPr="000D729C">
        <w:rPr>
          <w:rFonts w:ascii="Times New Roman" w:hAnsi="Times New Roman" w:cs="Times New Roman"/>
          <w:b/>
          <w:sz w:val="24"/>
          <w:szCs w:val="24"/>
        </w:rPr>
        <w:t>DEZECHILIBRU NEGATIV</w:t>
      </w:r>
      <w:r w:rsidR="00125FCC" w:rsidRPr="000D729C">
        <w:rPr>
          <w:rFonts w:ascii="Times New Roman" w:hAnsi="Times New Roman" w:cs="Times New Roman"/>
          <w:b/>
          <w:sz w:val="24"/>
          <w:szCs w:val="24"/>
        </w:rPr>
        <w:t xml:space="preserve"> (</w:t>
      </w:r>
      <w:r w:rsidRPr="000D729C">
        <w:rPr>
          <w:rFonts w:ascii="Times New Roman" w:hAnsi="Times New Roman" w:cs="Times New Roman"/>
          <w:b/>
          <w:sz w:val="24"/>
          <w:szCs w:val="24"/>
        </w:rPr>
        <w:t>DEFICIT</w:t>
      </w:r>
      <w:r w:rsidR="00125FCC" w:rsidRPr="000D729C">
        <w:rPr>
          <w:rFonts w:ascii="Times New Roman" w:hAnsi="Times New Roman" w:cs="Times New Roman"/>
          <w:b/>
          <w:sz w:val="24"/>
          <w:szCs w:val="24"/>
        </w:rPr>
        <w:t>)</w:t>
      </w:r>
      <w:r w:rsidRPr="000D729C">
        <w:rPr>
          <w:rFonts w:ascii="Times New Roman" w:hAnsi="Times New Roman" w:cs="Times New Roman"/>
          <w:b/>
          <w:sz w:val="24"/>
          <w:szCs w:val="24"/>
        </w:rPr>
        <w:t xml:space="preserve">, </w:t>
      </w:r>
      <w:r w:rsidRPr="000D729C">
        <w:rPr>
          <w:rFonts w:ascii="Times New Roman" w:hAnsi="Times New Roman" w:cs="Times New Roman"/>
          <w:sz w:val="24"/>
          <w:szCs w:val="24"/>
        </w:rPr>
        <w:t xml:space="preserve">dar </w:t>
      </w:r>
      <w:r w:rsidRPr="000D729C">
        <w:rPr>
          <w:rFonts w:ascii="Times New Roman" w:hAnsi="Times New Roman" w:cs="Times New Roman"/>
          <w:b/>
          <w:sz w:val="24"/>
          <w:szCs w:val="24"/>
        </w:rPr>
        <w:t>în limitele nivelului de toleranță zilnică</w:t>
      </w:r>
      <w:r w:rsidRPr="000D729C">
        <w:rPr>
          <w:rFonts w:ascii="Times New Roman" w:hAnsi="Times New Roman" w:cs="Times New Roman"/>
          <w:sz w:val="24"/>
          <w:szCs w:val="24"/>
        </w:rPr>
        <w:t>, plata în ziua gazieră D-1 ce urmează să fie facturată se va calcula cu formula:</w:t>
      </w:r>
    </w:p>
    <w:p w14:paraId="241C97AD" w14:textId="24F73F34" w:rsidR="000E179C" w:rsidRPr="000D729C" w:rsidRDefault="000E179C" w:rsidP="00B1546B">
      <w:pPr>
        <w:tabs>
          <w:tab w:val="left" w:pos="1134"/>
        </w:tabs>
        <w:spacing w:before="96" w:line="276" w:lineRule="auto"/>
        <w:ind w:firstLine="567"/>
        <w:jc w:val="center"/>
        <w:rPr>
          <w:rFonts w:ascii="Times New Roman" w:hAnsi="Times New Roman" w:cs="Times New Roman"/>
          <w:sz w:val="24"/>
          <w:szCs w:val="24"/>
        </w:rPr>
      </w:pPr>
      <w:r w:rsidRPr="000D729C">
        <w:rPr>
          <w:rFonts w:ascii="Times New Roman" w:hAnsi="Times New Roman" w:cs="Times New Roman"/>
          <w:b/>
          <w:position w:val="2"/>
          <w:sz w:val="24"/>
          <w:szCs w:val="24"/>
        </w:rPr>
        <w:t>P</w:t>
      </w:r>
      <w:r w:rsidRPr="000D729C">
        <w:rPr>
          <w:rFonts w:ascii="Times New Roman" w:hAnsi="Times New Roman" w:cs="Times New Roman"/>
          <w:b/>
          <w:sz w:val="24"/>
          <w:szCs w:val="24"/>
          <w:vertAlign w:val="subscript"/>
        </w:rPr>
        <w:t>DN</w:t>
      </w:r>
      <w:r w:rsidRPr="000D729C">
        <w:rPr>
          <w:rFonts w:ascii="Times New Roman" w:hAnsi="Times New Roman" w:cs="Times New Roman"/>
          <w:b/>
          <w:sz w:val="24"/>
          <w:szCs w:val="24"/>
        </w:rPr>
        <w:t xml:space="preserve"> </w:t>
      </w:r>
      <w:r w:rsidRPr="000D729C">
        <w:rPr>
          <w:rFonts w:ascii="Times New Roman" w:hAnsi="Times New Roman" w:cs="Times New Roman"/>
          <w:b/>
          <w:position w:val="2"/>
          <w:sz w:val="24"/>
          <w:szCs w:val="24"/>
        </w:rPr>
        <w:t xml:space="preserve">= </w:t>
      </w:r>
      <w:r w:rsidR="00ED1B5D" w:rsidRPr="000D729C">
        <w:rPr>
          <w:rFonts w:ascii="Arial Narrow" w:hAnsi="Arial Narrow" w:cs="Times New Roman"/>
          <w:b/>
          <w:position w:val="2"/>
          <w:sz w:val="24"/>
          <w:szCs w:val="24"/>
        </w:rPr>
        <w:t>|</w:t>
      </w:r>
      <w:r w:rsidRPr="000D729C">
        <w:rPr>
          <w:rFonts w:ascii="Times New Roman" w:hAnsi="Times New Roman" w:cs="Times New Roman"/>
          <w:b/>
          <w:position w:val="2"/>
          <w:sz w:val="24"/>
          <w:szCs w:val="24"/>
        </w:rPr>
        <w:t>Q</w:t>
      </w:r>
      <w:r w:rsidRPr="000D729C">
        <w:rPr>
          <w:rFonts w:ascii="Times New Roman" w:hAnsi="Times New Roman" w:cs="Times New Roman"/>
          <w:b/>
          <w:sz w:val="24"/>
          <w:szCs w:val="24"/>
          <w:vertAlign w:val="subscript"/>
        </w:rPr>
        <w:t>D</w:t>
      </w:r>
      <w:r w:rsidR="00ED1B5D" w:rsidRPr="000D729C">
        <w:rPr>
          <w:rFonts w:ascii="Arial Narrow" w:hAnsi="Arial Narrow" w:cs="Times New Roman"/>
          <w:b/>
          <w:position w:val="2"/>
          <w:sz w:val="24"/>
          <w:szCs w:val="24"/>
        </w:rPr>
        <w:t xml:space="preserve">| </w:t>
      </w:r>
      <w:r w:rsidRPr="000D729C">
        <w:rPr>
          <w:rFonts w:ascii="Times New Roman" w:hAnsi="Times New Roman" w:cs="Times New Roman"/>
          <w:bCs/>
          <w:sz w:val="20"/>
          <w:szCs w:val="20"/>
        </w:rPr>
        <w:t>x</w:t>
      </w:r>
      <w:r w:rsidRPr="000D729C">
        <w:rPr>
          <w:rFonts w:ascii="Times New Roman" w:hAnsi="Times New Roman" w:cs="Times New Roman"/>
          <w:b/>
          <w:position w:val="2"/>
          <w:sz w:val="24"/>
          <w:szCs w:val="24"/>
        </w:rPr>
        <w:t xml:space="preserve"> P</w:t>
      </w:r>
      <w:r w:rsidRPr="000D729C">
        <w:rPr>
          <w:rFonts w:ascii="Times New Roman" w:hAnsi="Times New Roman" w:cs="Times New Roman"/>
          <w:b/>
          <w:position w:val="2"/>
          <w:sz w:val="24"/>
          <w:szCs w:val="24"/>
          <w:vertAlign w:val="subscript"/>
        </w:rPr>
        <w:t>R</w:t>
      </w:r>
      <w:r w:rsidRPr="000D729C">
        <w:rPr>
          <w:rFonts w:ascii="Times New Roman" w:hAnsi="Times New Roman" w:cs="Times New Roman"/>
          <w:b/>
          <w:position w:val="2"/>
          <w:sz w:val="24"/>
          <w:szCs w:val="24"/>
        </w:rPr>
        <w:t xml:space="preserve">           </w:t>
      </w:r>
      <w:r w:rsidRPr="000D729C">
        <w:rPr>
          <w:rFonts w:ascii="Times New Roman" w:hAnsi="Times New Roman" w:cs="Times New Roman"/>
          <w:position w:val="2"/>
          <w:sz w:val="24"/>
          <w:szCs w:val="24"/>
        </w:rPr>
        <w:t>(3)</w:t>
      </w:r>
    </w:p>
    <w:p w14:paraId="77F37C12" w14:textId="77777777" w:rsidR="000E179C" w:rsidRPr="000D729C" w:rsidRDefault="000E179C" w:rsidP="00B1546B">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unde:</w:t>
      </w:r>
    </w:p>
    <w:p w14:paraId="52EBC688" w14:textId="77777777" w:rsidR="000E179C" w:rsidRPr="000D729C" w:rsidRDefault="000E179C" w:rsidP="00B1546B">
      <w:pPr>
        <w:pStyle w:val="BodyText"/>
        <w:spacing w:before="1" w:line="276" w:lineRule="auto"/>
        <w:ind w:firstLine="567"/>
        <w:jc w:val="both"/>
        <w:rPr>
          <w:rFonts w:ascii="Times New Roman" w:hAnsi="Times New Roman" w:cs="Times New Roman"/>
          <w:sz w:val="24"/>
          <w:szCs w:val="24"/>
        </w:rPr>
      </w:pPr>
      <w:r w:rsidRPr="000D729C">
        <w:rPr>
          <w:rFonts w:ascii="Times New Roman" w:hAnsi="Times New Roman" w:cs="Times New Roman"/>
          <w:b/>
          <w:position w:val="2"/>
          <w:sz w:val="24"/>
          <w:szCs w:val="24"/>
        </w:rPr>
        <w:t>P</w:t>
      </w:r>
      <w:r w:rsidRPr="000D729C">
        <w:rPr>
          <w:rFonts w:ascii="Times New Roman" w:hAnsi="Times New Roman" w:cs="Times New Roman"/>
          <w:b/>
          <w:sz w:val="24"/>
          <w:szCs w:val="24"/>
          <w:vertAlign w:val="subscript"/>
        </w:rPr>
        <w:t>DN</w:t>
      </w:r>
      <w:r w:rsidRPr="000D729C">
        <w:rPr>
          <w:rFonts w:ascii="Times New Roman" w:hAnsi="Times New Roman" w:cs="Times New Roman"/>
          <w:sz w:val="24"/>
          <w:szCs w:val="24"/>
        </w:rPr>
        <w:t xml:space="preserve"> </w:t>
      </w:r>
      <w:r w:rsidRPr="000D729C">
        <w:rPr>
          <w:rFonts w:ascii="Times New Roman" w:hAnsi="Times New Roman" w:cs="Times New Roman"/>
          <w:position w:val="2"/>
          <w:sz w:val="24"/>
          <w:szCs w:val="24"/>
        </w:rPr>
        <w:t>- plata pentru dezechilibru negativ;</w:t>
      </w:r>
    </w:p>
    <w:p w14:paraId="3A2C4352" w14:textId="77777777" w:rsidR="000E179C" w:rsidRPr="000D729C" w:rsidRDefault="000E179C" w:rsidP="00B1546B">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b/>
          <w:position w:val="2"/>
          <w:sz w:val="24"/>
          <w:szCs w:val="24"/>
        </w:rPr>
        <w:t>Q</w:t>
      </w:r>
      <w:r w:rsidRPr="000D729C">
        <w:rPr>
          <w:rFonts w:ascii="Times New Roman" w:hAnsi="Times New Roman" w:cs="Times New Roman"/>
          <w:b/>
          <w:sz w:val="24"/>
          <w:szCs w:val="24"/>
          <w:vertAlign w:val="subscript"/>
        </w:rPr>
        <w:t>D</w:t>
      </w:r>
      <w:r w:rsidRPr="000D729C">
        <w:rPr>
          <w:rFonts w:ascii="Times New Roman" w:hAnsi="Times New Roman" w:cs="Times New Roman"/>
          <w:sz w:val="24"/>
          <w:szCs w:val="24"/>
        </w:rPr>
        <w:t xml:space="preserve"> </w:t>
      </w:r>
      <w:r w:rsidRPr="000D729C">
        <w:rPr>
          <w:rFonts w:ascii="Times New Roman" w:hAnsi="Times New Roman" w:cs="Times New Roman"/>
          <w:position w:val="2"/>
          <w:sz w:val="24"/>
          <w:szCs w:val="24"/>
        </w:rPr>
        <w:t>- cantitatea de dezechilibru zilnic a US pentru ziua gazieră D-1;</w:t>
      </w:r>
    </w:p>
    <w:p w14:paraId="4F1F7A8D" w14:textId="65D530CB" w:rsidR="000E179C" w:rsidRPr="000D729C" w:rsidRDefault="000E179C" w:rsidP="00B1546B">
      <w:pPr>
        <w:pStyle w:val="BodyText"/>
        <w:spacing w:before="1" w:line="276" w:lineRule="auto"/>
        <w:ind w:firstLine="567"/>
        <w:jc w:val="both"/>
        <w:rPr>
          <w:rFonts w:ascii="Times New Roman" w:hAnsi="Times New Roman" w:cs="Times New Roman"/>
          <w:position w:val="2"/>
          <w:sz w:val="24"/>
          <w:szCs w:val="24"/>
        </w:rPr>
      </w:pPr>
      <w:r w:rsidRPr="000D729C">
        <w:rPr>
          <w:rFonts w:ascii="Times New Roman" w:hAnsi="Times New Roman" w:cs="Times New Roman"/>
          <w:b/>
          <w:position w:val="2"/>
          <w:sz w:val="24"/>
          <w:szCs w:val="24"/>
        </w:rPr>
        <w:t>P</w:t>
      </w:r>
      <w:r w:rsidRPr="000D729C">
        <w:rPr>
          <w:rFonts w:ascii="Times New Roman" w:hAnsi="Times New Roman" w:cs="Times New Roman"/>
          <w:b/>
          <w:position w:val="2"/>
          <w:sz w:val="24"/>
          <w:szCs w:val="24"/>
          <w:vertAlign w:val="subscript"/>
        </w:rPr>
        <w:t>R</w:t>
      </w:r>
      <w:r w:rsidRPr="000D729C">
        <w:rPr>
          <w:rFonts w:ascii="Times New Roman" w:hAnsi="Times New Roman" w:cs="Times New Roman"/>
          <w:position w:val="2"/>
          <w:sz w:val="24"/>
          <w:szCs w:val="24"/>
        </w:rPr>
        <w:t xml:space="preserve"> – </w:t>
      </w:r>
      <w:r w:rsidR="00B1546B" w:rsidRPr="000D729C">
        <w:rPr>
          <w:rFonts w:ascii="Times New Roman" w:hAnsi="Times New Roman" w:cs="Times New Roman"/>
          <w:position w:val="2"/>
          <w:sz w:val="24"/>
          <w:szCs w:val="24"/>
        </w:rPr>
        <w:t>p</w:t>
      </w:r>
      <w:r w:rsidRPr="000D729C">
        <w:rPr>
          <w:rFonts w:ascii="Times New Roman" w:hAnsi="Times New Roman" w:cs="Times New Roman"/>
          <w:position w:val="2"/>
          <w:sz w:val="24"/>
          <w:szCs w:val="24"/>
        </w:rPr>
        <w:t>rețul de referință reprezintă preţul mediu ponderat zilnic al tranzacțiilor cu gaze pe piețele centralizate (în continuare P</w:t>
      </w:r>
      <w:r w:rsidRPr="000D729C">
        <w:rPr>
          <w:rFonts w:ascii="Times New Roman" w:hAnsi="Times New Roman" w:cs="Times New Roman"/>
          <w:position w:val="2"/>
          <w:sz w:val="24"/>
          <w:szCs w:val="24"/>
          <w:vertAlign w:val="subscript"/>
        </w:rPr>
        <w:t>MP</w:t>
      </w:r>
      <w:r w:rsidRPr="000D729C">
        <w:rPr>
          <w:rFonts w:ascii="Times New Roman" w:hAnsi="Times New Roman" w:cs="Times New Roman"/>
          <w:position w:val="2"/>
          <w:sz w:val="24"/>
          <w:szCs w:val="24"/>
        </w:rPr>
        <w:t>).</w:t>
      </w:r>
    </w:p>
    <w:p w14:paraId="4735236E" w14:textId="77777777" w:rsidR="00866750" w:rsidRPr="000D729C" w:rsidRDefault="00866750" w:rsidP="00866750">
      <w:pPr>
        <w:pStyle w:val="BodyText"/>
        <w:spacing w:before="2"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Prețul de referință este preţul mediu ponderat zilnic al tranzacțiilor cu gaze pe piețele centralizate/platforma de tranzacționare (în continuare P</w:t>
      </w:r>
      <w:r w:rsidRPr="000D729C">
        <w:rPr>
          <w:rFonts w:ascii="Times New Roman" w:hAnsi="Times New Roman" w:cs="Times New Roman"/>
          <w:sz w:val="24"/>
          <w:szCs w:val="24"/>
          <w:vertAlign w:val="subscript"/>
        </w:rPr>
        <w:t>MP</w:t>
      </w:r>
      <w:r w:rsidRPr="000D729C">
        <w:rPr>
          <w:rFonts w:ascii="Times New Roman" w:hAnsi="Times New Roman" w:cs="Times New Roman"/>
          <w:sz w:val="24"/>
          <w:szCs w:val="24"/>
        </w:rPr>
        <w:t>).</w:t>
      </w:r>
    </w:p>
    <w:p w14:paraId="05AD644B" w14:textId="3241F4A1" w:rsidR="000E179C" w:rsidRPr="000D729C" w:rsidRDefault="000E179C" w:rsidP="00B1546B">
      <w:pPr>
        <w:pStyle w:val="BodyText"/>
        <w:spacing w:before="120"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În ordinea de prioritate prevăzută mai jos, </w:t>
      </w:r>
      <w:r w:rsidRPr="000D729C">
        <w:rPr>
          <w:rFonts w:ascii="Times New Roman" w:hAnsi="Times New Roman" w:cs="Times New Roman"/>
          <w:b/>
          <w:i/>
          <w:sz w:val="24"/>
          <w:szCs w:val="24"/>
        </w:rPr>
        <w:t>preţul mediu ponderat</w:t>
      </w:r>
      <w:r w:rsidRPr="000D729C">
        <w:rPr>
          <w:rFonts w:ascii="Times New Roman" w:hAnsi="Times New Roman" w:cs="Times New Roman"/>
          <w:sz w:val="24"/>
          <w:szCs w:val="24"/>
        </w:rPr>
        <w:t xml:space="preserve"> </w:t>
      </w:r>
      <w:r w:rsidR="001F6D6E" w:rsidRPr="000D729C">
        <w:rPr>
          <w:rFonts w:ascii="Times New Roman" w:hAnsi="Times New Roman" w:cs="Times New Roman"/>
          <w:sz w:val="24"/>
          <w:szCs w:val="24"/>
        </w:rPr>
        <w:t xml:space="preserve"> </w:t>
      </w:r>
      <w:r w:rsidR="001F6D6E" w:rsidRPr="000D729C">
        <w:rPr>
          <w:rFonts w:ascii="Times New Roman" w:hAnsi="Times New Roman" w:cs="Times New Roman"/>
          <w:b/>
          <w:i/>
          <w:sz w:val="24"/>
          <w:szCs w:val="24"/>
        </w:rPr>
        <w:t>P</w:t>
      </w:r>
      <w:r w:rsidR="001F6D6E" w:rsidRPr="000D729C">
        <w:rPr>
          <w:rFonts w:ascii="Times New Roman" w:hAnsi="Times New Roman" w:cs="Times New Roman"/>
          <w:b/>
          <w:i/>
          <w:sz w:val="24"/>
          <w:szCs w:val="24"/>
          <w:vertAlign w:val="subscript"/>
        </w:rPr>
        <w:t>MP</w:t>
      </w:r>
      <w:r w:rsidR="001F6D6E" w:rsidRPr="000D729C">
        <w:rPr>
          <w:rFonts w:ascii="Times New Roman" w:hAnsi="Times New Roman" w:cs="Times New Roman"/>
          <w:sz w:val="24"/>
          <w:szCs w:val="24"/>
        </w:rPr>
        <w:t xml:space="preserve"> utilizat la calcularea prețului provizoriu de dezechilibru </w:t>
      </w:r>
      <w:r w:rsidRPr="000D729C">
        <w:rPr>
          <w:rFonts w:ascii="Times New Roman" w:hAnsi="Times New Roman" w:cs="Times New Roman"/>
          <w:sz w:val="24"/>
          <w:szCs w:val="24"/>
        </w:rPr>
        <w:t>este egal cu:</w:t>
      </w:r>
      <w:r w:rsidR="001F6D6E" w:rsidRPr="000D729C">
        <w:rPr>
          <w:rFonts w:ascii="Times New Roman" w:hAnsi="Times New Roman" w:cs="Times New Roman"/>
          <w:sz w:val="24"/>
          <w:szCs w:val="24"/>
        </w:rPr>
        <w:t xml:space="preserve"> </w:t>
      </w:r>
    </w:p>
    <w:p w14:paraId="67ED4864" w14:textId="1AA768F1" w:rsidR="000E179C" w:rsidRPr="000D729C" w:rsidRDefault="000E179C" w:rsidP="004A17FD">
      <w:pPr>
        <w:pStyle w:val="BodyText"/>
        <w:numPr>
          <w:ilvl w:val="0"/>
          <w:numId w:val="17"/>
        </w:numPr>
        <w:tabs>
          <w:tab w:val="left" w:pos="993"/>
        </w:tabs>
        <w:spacing w:before="1"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prețul mediu, ponderat </w:t>
      </w:r>
      <w:r w:rsidR="001F6D6E" w:rsidRPr="000D729C">
        <w:rPr>
          <w:rFonts w:ascii="Times New Roman" w:hAnsi="Times New Roman" w:cs="Times New Roman"/>
          <w:sz w:val="24"/>
          <w:szCs w:val="24"/>
        </w:rPr>
        <w:t>al tranzacți</w:t>
      </w:r>
      <w:r w:rsidR="003031E5" w:rsidRPr="000D729C">
        <w:rPr>
          <w:rFonts w:ascii="Times New Roman" w:hAnsi="Times New Roman" w:cs="Times New Roman"/>
          <w:sz w:val="24"/>
          <w:szCs w:val="24"/>
        </w:rPr>
        <w:t>ilor cu gaze naturale</w:t>
      </w:r>
      <w:r w:rsidRPr="000D729C">
        <w:rPr>
          <w:rFonts w:ascii="Times New Roman" w:hAnsi="Times New Roman" w:cs="Times New Roman"/>
          <w:sz w:val="24"/>
          <w:szCs w:val="24"/>
        </w:rPr>
        <w:t xml:space="preserve">, </w:t>
      </w:r>
      <w:r w:rsidR="001F6D6E" w:rsidRPr="000D729C">
        <w:rPr>
          <w:rFonts w:ascii="Times New Roman" w:hAnsi="Times New Roman" w:cs="Times New Roman"/>
          <w:sz w:val="24"/>
          <w:szCs w:val="24"/>
        </w:rPr>
        <w:t xml:space="preserve">în ziua gazieră D </w:t>
      </w:r>
      <w:r w:rsidRPr="000D729C">
        <w:rPr>
          <w:rFonts w:ascii="Times New Roman" w:hAnsi="Times New Roman" w:cs="Times New Roman"/>
          <w:sz w:val="24"/>
          <w:szCs w:val="24"/>
        </w:rPr>
        <w:t>aferent produselor</w:t>
      </w:r>
      <w:r w:rsidR="004F4030" w:rsidRPr="000D729C">
        <w:rPr>
          <w:rFonts w:ascii="Times New Roman" w:hAnsi="Times New Roman" w:cs="Times New Roman"/>
          <w:sz w:val="24"/>
          <w:szCs w:val="24"/>
        </w:rPr>
        <w:t xml:space="preserve"> </w:t>
      </w:r>
      <w:r w:rsidR="001F6D6E" w:rsidRPr="000D729C">
        <w:rPr>
          <w:rFonts w:ascii="Times New Roman" w:hAnsi="Times New Roman" w:cs="Times New Roman"/>
          <w:sz w:val="24"/>
          <w:szCs w:val="24"/>
        </w:rPr>
        <w:t>,,Z</w:t>
      </w:r>
      <w:r w:rsidRPr="000D729C">
        <w:rPr>
          <w:rFonts w:ascii="Times New Roman" w:hAnsi="Times New Roman" w:cs="Times New Roman"/>
          <w:sz w:val="24"/>
          <w:szCs w:val="24"/>
        </w:rPr>
        <w:t>iua următoare</w:t>
      </w:r>
      <w:r w:rsidR="001F6D6E" w:rsidRPr="000D729C">
        <w:rPr>
          <w:rFonts w:ascii="Times New Roman" w:hAnsi="Times New Roman" w:cs="Times New Roman"/>
          <w:sz w:val="24"/>
          <w:szCs w:val="24"/>
        </w:rPr>
        <w:t>”</w:t>
      </w:r>
      <w:r w:rsidRPr="000D729C">
        <w:rPr>
          <w:rFonts w:ascii="Times New Roman" w:hAnsi="Times New Roman" w:cs="Times New Roman"/>
          <w:sz w:val="24"/>
          <w:szCs w:val="24"/>
        </w:rPr>
        <w:t xml:space="preserve"> tranzacționate în cadrul piețelor produselor standardizate pe termen scurt</w:t>
      </w:r>
      <w:r w:rsidR="001F6D6E" w:rsidRPr="000D729C">
        <w:rPr>
          <w:rFonts w:ascii="Times New Roman" w:hAnsi="Times New Roman" w:cs="Times New Roman"/>
          <w:sz w:val="24"/>
          <w:szCs w:val="24"/>
        </w:rPr>
        <w:t xml:space="preserve"> (PSTS) </w:t>
      </w:r>
      <w:r w:rsidR="003031E5" w:rsidRPr="000D729C">
        <w:rPr>
          <w:rFonts w:ascii="Times New Roman" w:hAnsi="Times New Roman" w:cs="Times New Roman"/>
          <w:sz w:val="24"/>
          <w:szCs w:val="24"/>
        </w:rPr>
        <w:t xml:space="preserve">prin intermediul </w:t>
      </w:r>
      <w:r w:rsidR="004F4030" w:rsidRPr="000D729C">
        <w:rPr>
          <w:rFonts w:ascii="Times New Roman" w:hAnsi="Times New Roman" w:cs="Times New Roman"/>
          <w:sz w:val="24"/>
          <w:szCs w:val="24"/>
        </w:rPr>
        <w:t xml:space="preserve">unei </w:t>
      </w:r>
      <w:r w:rsidR="001F6D6E" w:rsidRPr="000D729C">
        <w:rPr>
          <w:rFonts w:ascii="Times New Roman" w:hAnsi="Times New Roman" w:cs="Times New Roman"/>
          <w:sz w:val="24"/>
          <w:szCs w:val="24"/>
        </w:rPr>
        <w:t>platforme de tranzacționare</w:t>
      </w:r>
      <w:r w:rsidRPr="000D729C">
        <w:rPr>
          <w:rFonts w:ascii="Times New Roman" w:hAnsi="Times New Roman" w:cs="Times New Roman"/>
          <w:sz w:val="24"/>
          <w:szCs w:val="24"/>
        </w:rPr>
        <w:t xml:space="preserve"> din Republica Moldova, pentru care au fost determinate dezechilibrele zilnice finale sau, în lipsa acestui preţ, cu:</w:t>
      </w:r>
    </w:p>
    <w:p w14:paraId="14FF188B" w14:textId="61616C91" w:rsidR="000E179C" w:rsidRPr="000D729C" w:rsidRDefault="000E179C" w:rsidP="004A17FD">
      <w:pPr>
        <w:pStyle w:val="BodyText"/>
        <w:numPr>
          <w:ilvl w:val="0"/>
          <w:numId w:val="17"/>
        </w:numPr>
        <w:tabs>
          <w:tab w:val="left" w:pos="993"/>
        </w:tabs>
        <w:spacing w:before="1"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prețul mediu, ponderat </w:t>
      </w:r>
      <w:r w:rsidR="003031E5" w:rsidRPr="000D729C">
        <w:rPr>
          <w:rFonts w:ascii="Times New Roman" w:hAnsi="Times New Roman" w:cs="Times New Roman"/>
          <w:sz w:val="24"/>
          <w:szCs w:val="24"/>
        </w:rPr>
        <w:t>al tranzacțiilor cu gaze naturale</w:t>
      </w:r>
      <w:r w:rsidRPr="000D729C">
        <w:rPr>
          <w:rFonts w:ascii="Times New Roman" w:hAnsi="Times New Roman" w:cs="Times New Roman"/>
          <w:sz w:val="24"/>
          <w:szCs w:val="24"/>
        </w:rPr>
        <w:t xml:space="preserve">, </w:t>
      </w:r>
      <w:r w:rsidR="001F6D6E" w:rsidRPr="000D729C">
        <w:rPr>
          <w:rFonts w:ascii="Times New Roman" w:hAnsi="Times New Roman" w:cs="Times New Roman"/>
          <w:sz w:val="24"/>
          <w:szCs w:val="24"/>
        </w:rPr>
        <w:t>în</w:t>
      </w:r>
      <w:r w:rsidR="001F6D6E" w:rsidRPr="000D729C">
        <w:rPr>
          <w:rFonts w:ascii="Times New Roman" w:hAnsi="Times New Roman" w:cs="Times New Roman"/>
          <w:i/>
          <w:sz w:val="24"/>
          <w:szCs w:val="24"/>
        </w:rPr>
        <w:t xml:space="preserve"> </w:t>
      </w:r>
      <w:r w:rsidR="001F6D6E" w:rsidRPr="000D729C">
        <w:rPr>
          <w:rFonts w:ascii="Times New Roman" w:hAnsi="Times New Roman" w:cs="Times New Roman"/>
          <w:sz w:val="24"/>
          <w:szCs w:val="24"/>
        </w:rPr>
        <w:t>ziua gazieră D</w:t>
      </w:r>
      <w:r w:rsidR="001F6D6E" w:rsidRPr="000D729C" w:rsidDel="001F6D6E">
        <w:rPr>
          <w:rFonts w:ascii="Times New Roman" w:hAnsi="Times New Roman" w:cs="Times New Roman"/>
          <w:sz w:val="24"/>
          <w:szCs w:val="24"/>
        </w:rPr>
        <w:t xml:space="preserve"> </w:t>
      </w:r>
      <w:r w:rsidRPr="000D729C">
        <w:rPr>
          <w:rFonts w:ascii="Times New Roman" w:hAnsi="Times New Roman" w:cs="Times New Roman"/>
          <w:sz w:val="24"/>
          <w:szCs w:val="24"/>
        </w:rPr>
        <w:t xml:space="preserve">aferent produselor intrazilnice tranzacționate în cadrul piețelor </w:t>
      </w:r>
      <w:r w:rsidR="001F6D6E" w:rsidRPr="000D729C">
        <w:rPr>
          <w:rFonts w:ascii="Times New Roman" w:hAnsi="Times New Roman" w:cs="Times New Roman"/>
          <w:sz w:val="24"/>
          <w:szCs w:val="24"/>
        </w:rPr>
        <w:t>PSTS</w:t>
      </w:r>
      <w:r w:rsidRPr="000D729C">
        <w:rPr>
          <w:rFonts w:ascii="Times New Roman" w:hAnsi="Times New Roman" w:cs="Times New Roman"/>
          <w:sz w:val="24"/>
          <w:szCs w:val="24"/>
        </w:rPr>
        <w:t xml:space="preserve"> </w:t>
      </w:r>
      <w:r w:rsidR="003031E5" w:rsidRPr="000D729C">
        <w:rPr>
          <w:rFonts w:ascii="Times New Roman" w:hAnsi="Times New Roman" w:cs="Times New Roman"/>
          <w:sz w:val="24"/>
          <w:szCs w:val="24"/>
        </w:rPr>
        <w:t>prin intermediul</w:t>
      </w:r>
      <w:r w:rsidR="004F4030" w:rsidRPr="000D729C">
        <w:rPr>
          <w:rFonts w:ascii="Times New Roman" w:hAnsi="Times New Roman" w:cs="Times New Roman"/>
          <w:sz w:val="24"/>
          <w:szCs w:val="24"/>
        </w:rPr>
        <w:t xml:space="preserve"> unei </w:t>
      </w:r>
      <w:r w:rsidR="001F6D6E" w:rsidRPr="000D729C">
        <w:rPr>
          <w:rFonts w:ascii="Times New Roman" w:hAnsi="Times New Roman" w:cs="Times New Roman"/>
          <w:sz w:val="24"/>
          <w:szCs w:val="24"/>
        </w:rPr>
        <w:t>platforme de tranzacționare</w:t>
      </w:r>
      <w:r w:rsidRPr="000D729C">
        <w:rPr>
          <w:rFonts w:ascii="Times New Roman" w:hAnsi="Times New Roman" w:cs="Times New Roman"/>
          <w:sz w:val="24"/>
          <w:szCs w:val="24"/>
        </w:rPr>
        <w:t xml:space="preserve"> din Republica Moldova, pentru care au fost determinate dezechilibrele zilnice finale sau, în lipsa acestui preț, cu:</w:t>
      </w:r>
    </w:p>
    <w:p w14:paraId="195D5BC6" w14:textId="1493D384" w:rsidR="000E179C" w:rsidRPr="000D729C" w:rsidRDefault="000E179C" w:rsidP="004A17FD">
      <w:pPr>
        <w:pStyle w:val="BodyText"/>
        <w:numPr>
          <w:ilvl w:val="0"/>
          <w:numId w:val="17"/>
        </w:numPr>
        <w:tabs>
          <w:tab w:val="left" w:pos="993"/>
        </w:tabs>
        <w:spacing w:before="1" w:line="276" w:lineRule="auto"/>
        <w:ind w:left="0"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în situațiile în care în ziua gazieră D nu au fost efectuate tranzacții </w:t>
      </w:r>
      <w:r w:rsidR="003031E5" w:rsidRPr="000D729C">
        <w:rPr>
          <w:rFonts w:ascii="Times New Roman" w:hAnsi="Times New Roman" w:cs="Times New Roman"/>
          <w:sz w:val="24"/>
          <w:szCs w:val="24"/>
        </w:rPr>
        <w:t xml:space="preserve">cu gaze naturale </w:t>
      </w:r>
      <w:r w:rsidRPr="000D729C">
        <w:rPr>
          <w:rFonts w:ascii="Times New Roman" w:hAnsi="Times New Roman" w:cs="Times New Roman"/>
          <w:sz w:val="24"/>
          <w:szCs w:val="24"/>
        </w:rPr>
        <w:t>pe piețele angro</w:t>
      </w:r>
      <w:r w:rsidR="003031E5" w:rsidRPr="000D729C">
        <w:rPr>
          <w:rFonts w:ascii="Times New Roman" w:hAnsi="Times New Roman" w:cs="Times New Roman"/>
          <w:sz w:val="24"/>
          <w:szCs w:val="24"/>
        </w:rPr>
        <w:t xml:space="preserve"> </w:t>
      </w:r>
      <w:r w:rsidRPr="000D729C">
        <w:rPr>
          <w:rFonts w:ascii="Times New Roman" w:hAnsi="Times New Roman" w:cs="Times New Roman"/>
          <w:sz w:val="24"/>
          <w:szCs w:val="24"/>
        </w:rPr>
        <w:t>pe termen scurt</w:t>
      </w:r>
      <w:r w:rsidR="004F4030" w:rsidRPr="000D729C">
        <w:rPr>
          <w:rFonts w:ascii="Times New Roman" w:hAnsi="Times New Roman" w:cs="Times New Roman"/>
          <w:sz w:val="24"/>
          <w:szCs w:val="24"/>
        </w:rPr>
        <w:t xml:space="preserve"> prin intermediul unei</w:t>
      </w:r>
      <w:r w:rsidR="003031E5" w:rsidRPr="000D729C">
        <w:rPr>
          <w:rFonts w:ascii="Times New Roman" w:hAnsi="Times New Roman" w:cs="Times New Roman"/>
          <w:sz w:val="24"/>
          <w:szCs w:val="24"/>
        </w:rPr>
        <w:t xml:space="preserve"> platforme de tranzacționare din Republica Moldova,</w:t>
      </w:r>
      <w:r w:rsidRPr="000D729C">
        <w:rPr>
          <w:rFonts w:ascii="Times New Roman" w:hAnsi="Times New Roman" w:cs="Times New Roman"/>
          <w:sz w:val="24"/>
          <w:szCs w:val="24"/>
        </w:rPr>
        <w:t xml:space="preserve"> se va utiliza media prețurilor ponderate </w:t>
      </w:r>
      <w:r w:rsidR="003031E5" w:rsidRPr="000D729C">
        <w:rPr>
          <w:rFonts w:ascii="Times New Roman" w:hAnsi="Times New Roman" w:cs="Times New Roman"/>
          <w:sz w:val="24"/>
          <w:szCs w:val="24"/>
        </w:rPr>
        <w:t>a</w:t>
      </w:r>
      <w:r w:rsidRPr="000D729C">
        <w:rPr>
          <w:rFonts w:ascii="Times New Roman" w:hAnsi="Times New Roman" w:cs="Times New Roman"/>
          <w:sz w:val="24"/>
          <w:szCs w:val="24"/>
        </w:rPr>
        <w:t xml:space="preserve"> </w:t>
      </w:r>
      <w:r w:rsidR="003031E5" w:rsidRPr="000D729C">
        <w:rPr>
          <w:rFonts w:ascii="Times New Roman" w:hAnsi="Times New Roman" w:cs="Times New Roman"/>
          <w:sz w:val="24"/>
          <w:szCs w:val="24"/>
        </w:rPr>
        <w:t>gazelor naturale</w:t>
      </w:r>
      <w:r w:rsidRPr="000D729C">
        <w:rPr>
          <w:rFonts w:ascii="Times New Roman" w:hAnsi="Times New Roman" w:cs="Times New Roman"/>
          <w:sz w:val="24"/>
          <w:szCs w:val="24"/>
        </w:rPr>
        <w:t xml:space="preserve">, aferente produsului „Zi </w:t>
      </w:r>
      <w:r w:rsidRPr="000D729C">
        <w:rPr>
          <w:rFonts w:ascii="Times New Roman" w:hAnsi="Times New Roman" w:cs="Times New Roman"/>
          <w:sz w:val="24"/>
          <w:szCs w:val="24"/>
        </w:rPr>
        <w:lastRenderedPageBreak/>
        <w:t xml:space="preserve">următoare” tranzacționate în cadrul pieței </w:t>
      </w:r>
      <w:r w:rsidR="003031E5" w:rsidRPr="000D729C">
        <w:rPr>
          <w:rFonts w:ascii="Times New Roman" w:hAnsi="Times New Roman" w:cs="Times New Roman"/>
          <w:sz w:val="24"/>
          <w:szCs w:val="24"/>
        </w:rPr>
        <w:t>PSTS</w:t>
      </w:r>
      <w:r w:rsidRPr="000D729C">
        <w:rPr>
          <w:rFonts w:ascii="Times New Roman" w:hAnsi="Times New Roman" w:cs="Times New Roman"/>
          <w:sz w:val="24"/>
          <w:szCs w:val="24"/>
        </w:rPr>
        <w:t xml:space="preserve"> administrată de către Bursa Română de Mărfuri (https://brm.ro/piata-spot-gn/) și ajustate cu costurile de transport, cheltuieli de vămuire.</w:t>
      </w:r>
      <w:r w:rsidR="003031E5" w:rsidRPr="000D729C">
        <w:rPr>
          <w:rFonts w:ascii="Times New Roman" w:hAnsi="Times New Roman" w:cs="Times New Roman"/>
          <w:sz w:val="24"/>
          <w:szCs w:val="24"/>
        </w:rPr>
        <w:t xml:space="preserve"> </w:t>
      </w:r>
    </w:p>
    <w:p w14:paraId="5103359F" w14:textId="77777777" w:rsidR="006D088A" w:rsidRPr="000D729C" w:rsidRDefault="006D088A" w:rsidP="00997C6C">
      <w:pPr>
        <w:pStyle w:val="BodyText"/>
        <w:tabs>
          <w:tab w:val="left" w:pos="993"/>
        </w:tabs>
        <w:spacing w:before="1" w:line="276" w:lineRule="auto"/>
        <w:ind w:left="567"/>
        <w:jc w:val="both"/>
        <w:rPr>
          <w:rFonts w:ascii="Times New Roman" w:hAnsi="Times New Roman" w:cs="Times New Roman"/>
          <w:sz w:val="24"/>
          <w:szCs w:val="24"/>
        </w:rPr>
      </w:pPr>
    </w:p>
    <w:p w14:paraId="001911D1" w14:textId="06263B62" w:rsidR="000E179C" w:rsidRPr="000D729C" w:rsidRDefault="000E179C" w:rsidP="00B1546B">
      <w:pPr>
        <w:pStyle w:val="BodyText"/>
        <w:spacing w:before="1"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În cazul în care PRE are </w:t>
      </w:r>
      <w:r w:rsidRPr="000D729C">
        <w:rPr>
          <w:rFonts w:ascii="Times New Roman" w:hAnsi="Times New Roman" w:cs="Times New Roman"/>
          <w:b/>
          <w:sz w:val="24"/>
          <w:szCs w:val="24"/>
        </w:rPr>
        <w:t>DEZECHILIBRU NEGATIV</w:t>
      </w:r>
      <w:r w:rsidR="007C5745" w:rsidRPr="000D729C">
        <w:rPr>
          <w:rFonts w:ascii="Times New Roman" w:hAnsi="Times New Roman" w:cs="Times New Roman"/>
          <w:b/>
          <w:sz w:val="24"/>
          <w:szCs w:val="24"/>
        </w:rPr>
        <w:t xml:space="preserve"> (</w:t>
      </w:r>
      <w:r w:rsidRPr="000D729C">
        <w:rPr>
          <w:rFonts w:ascii="Times New Roman" w:hAnsi="Times New Roman" w:cs="Times New Roman"/>
          <w:b/>
          <w:sz w:val="24"/>
          <w:szCs w:val="24"/>
        </w:rPr>
        <w:t>DEFICIT</w:t>
      </w:r>
      <w:r w:rsidR="007C5745" w:rsidRPr="000D729C">
        <w:rPr>
          <w:rFonts w:ascii="Times New Roman" w:hAnsi="Times New Roman" w:cs="Times New Roman"/>
          <w:b/>
          <w:sz w:val="24"/>
          <w:szCs w:val="24"/>
        </w:rPr>
        <w:t>)</w:t>
      </w:r>
      <w:r w:rsidRPr="000D729C">
        <w:rPr>
          <w:rFonts w:ascii="Times New Roman" w:hAnsi="Times New Roman" w:cs="Times New Roman"/>
          <w:sz w:val="24"/>
          <w:szCs w:val="24"/>
        </w:rPr>
        <w:t xml:space="preserve"> și </w:t>
      </w:r>
      <w:r w:rsidRPr="000D729C">
        <w:rPr>
          <w:rFonts w:ascii="Times New Roman" w:hAnsi="Times New Roman" w:cs="Times New Roman"/>
          <w:b/>
          <w:sz w:val="24"/>
          <w:szCs w:val="24"/>
        </w:rPr>
        <w:t>a depășit limitele nivelului de toleranță zilnică</w:t>
      </w:r>
      <w:r w:rsidRPr="000D729C">
        <w:rPr>
          <w:rFonts w:ascii="Times New Roman" w:hAnsi="Times New Roman" w:cs="Times New Roman"/>
          <w:sz w:val="24"/>
          <w:szCs w:val="24"/>
        </w:rPr>
        <w:t>, plata pentru dezechilibru zilnic în ziua gazieră D-1 care urmează a fi facturată, se va calcula conform formulei:</w:t>
      </w:r>
    </w:p>
    <w:p w14:paraId="48EAD5E2" w14:textId="143955D7" w:rsidR="000E179C" w:rsidRPr="000D729C" w:rsidRDefault="000E179C" w:rsidP="00C7294A">
      <w:pPr>
        <w:spacing w:before="120" w:after="120" w:line="276" w:lineRule="auto"/>
        <w:ind w:firstLine="567"/>
        <w:jc w:val="center"/>
        <w:rPr>
          <w:rFonts w:ascii="Times New Roman" w:hAnsi="Times New Roman" w:cs="Times New Roman"/>
          <w:bCs/>
          <w:sz w:val="24"/>
          <w:szCs w:val="24"/>
        </w:rPr>
      </w:pPr>
      <w:r w:rsidRPr="000D729C">
        <w:rPr>
          <w:rFonts w:ascii="Times New Roman" w:hAnsi="Times New Roman" w:cs="Times New Roman"/>
          <w:b/>
          <w:bCs/>
          <w:sz w:val="24"/>
          <w:szCs w:val="24"/>
        </w:rPr>
        <w:t>P</w:t>
      </w:r>
      <w:r w:rsidRPr="000D729C">
        <w:rPr>
          <w:rFonts w:ascii="Times New Roman" w:hAnsi="Times New Roman" w:cs="Times New Roman"/>
          <w:b/>
          <w:bCs/>
          <w:sz w:val="24"/>
          <w:szCs w:val="24"/>
          <w:vertAlign w:val="subscript"/>
        </w:rPr>
        <w:t>DN</w:t>
      </w:r>
      <w:r w:rsidRPr="000D729C">
        <w:rPr>
          <w:rFonts w:ascii="Times New Roman" w:hAnsi="Times New Roman" w:cs="Times New Roman"/>
          <w:b/>
          <w:bCs/>
          <w:sz w:val="24"/>
          <w:szCs w:val="24"/>
        </w:rPr>
        <w:t xml:space="preserve">=TL </w:t>
      </w:r>
      <w:r w:rsidRPr="000D729C">
        <w:rPr>
          <w:rFonts w:ascii="Times New Roman" w:hAnsi="Times New Roman" w:cs="Times New Roman"/>
          <w:bCs/>
          <w:sz w:val="20"/>
          <w:szCs w:val="20"/>
        </w:rPr>
        <w:t>x</w:t>
      </w:r>
      <w:r w:rsidRPr="000D729C">
        <w:rPr>
          <w:rFonts w:ascii="Times New Roman" w:hAnsi="Times New Roman" w:cs="Times New Roman"/>
          <w:b/>
          <w:bCs/>
          <w:sz w:val="24"/>
          <w:szCs w:val="24"/>
        </w:rPr>
        <w:t xml:space="preserve"> Max (A</w:t>
      </w:r>
      <w:r w:rsidRPr="000D729C">
        <w:rPr>
          <w:rFonts w:ascii="Times New Roman" w:hAnsi="Times New Roman" w:cs="Times New Roman"/>
          <w:b/>
          <w:bCs/>
          <w:sz w:val="24"/>
          <w:szCs w:val="24"/>
          <w:vertAlign w:val="subscript"/>
        </w:rPr>
        <w:t>i</w:t>
      </w:r>
      <w:r w:rsidRPr="000D729C">
        <w:rPr>
          <w:rFonts w:ascii="Times New Roman" w:hAnsi="Times New Roman" w:cs="Times New Roman"/>
          <w:b/>
          <w:bCs/>
          <w:sz w:val="24"/>
          <w:szCs w:val="24"/>
        </w:rPr>
        <w:t>, A</w:t>
      </w:r>
      <w:r w:rsidRPr="000D729C">
        <w:rPr>
          <w:rFonts w:ascii="Times New Roman" w:hAnsi="Times New Roman" w:cs="Times New Roman"/>
          <w:b/>
          <w:bCs/>
          <w:sz w:val="24"/>
          <w:szCs w:val="24"/>
          <w:vertAlign w:val="subscript"/>
        </w:rPr>
        <w:t>e</w:t>
      </w:r>
      <w:r w:rsidRPr="000D729C">
        <w:rPr>
          <w:rFonts w:ascii="Times New Roman" w:hAnsi="Times New Roman" w:cs="Times New Roman"/>
          <w:b/>
          <w:bCs/>
          <w:sz w:val="24"/>
          <w:szCs w:val="24"/>
        </w:rPr>
        <w:t>)</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P</w:t>
      </w:r>
      <w:r w:rsidRPr="000D729C">
        <w:rPr>
          <w:rFonts w:ascii="Times New Roman" w:hAnsi="Times New Roman" w:cs="Times New Roman"/>
          <w:b/>
          <w:bCs/>
          <w:sz w:val="24"/>
          <w:szCs w:val="24"/>
          <w:vertAlign w:val="subscript"/>
        </w:rPr>
        <w:t xml:space="preserve">R </w:t>
      </w:r>
      <w:r w:rsidRPr="000D729C">
        <w:rPr>
          <w:rFonts w:ascii="Times New Roman" w:hAnsi="Times New Roman" w:cs="Times New Roman"/>
          <w:b/>
          <w:bCs/>
          <w:sz w:val="24"/>
          <w:szCs w:val="24"/>
        </w:rPr>
        <w:t>+ (</w:t>
      </w:r>
      <w:r w:rsidR="000B28CE" w:rsidRPr="000D729C">
        <w:rPr>
          <w:rFonts w:ascii="Times New Roman" w:hAnsi="Times New Roman" w:cs="Times New Roman"/>
          <w:b/>
          <w:bCs/>
          <w:sz w:val="24"/>
          <w:szCs w:val="24"/>
        </w:rPr>
        <w:t>|Q</w:t>
      </w:r>
      <w:r w:rsidR="000B28CE" w:rsidRPr="000D729C">
        <w:rPr>
          <w:rFonts w:ascii="Times New Roman" w:hAnsi="Times New Roman" w:cs="Times New Roman"/>
          <w:b/>
          <w:bCs/>
          <w:sz w:val="24"/>
          <w:szCs w:val="24"/>
          <w:vertAlign w:val="subscript"/>
        </w:rPr>
        <w:t>D</w:t>
      </w:r>
      <w:r w:rsidR="000B28CE" w:rsidRPr="000D729C">
        <w:rPr>
          <w:rFonts w:ascii="Times New Roman" w:hAnsi="Times New Roman" w:cs="Times New Roman"/>
          <w:b/>
          <w:bCs/>
          <w:sz w:val="24"/>
          <w:szCs w:val="24"/>
        </w:rPr>
        <w:t>|</w:t>
      </w:r>
      <w:r w:rsidRPr="000D729C">
        <w:rPr>
          <w:rFonts w:ascii="Times New Roman" w:hAnsi="Times New Roman" w:cs="Times New Roman"/>
          <w:b/>
          <w:bCs/>
          <w:sz w:val="24"/>
          <w:szCs w:val="24"/>
        </w:rPr>
        <w:t xml:space="preserve"> - TL</w:t>
      </w:r>
      <w:r w:rsidRPr="000D729C">
        <w:rPr>
          <w:rFonts w:ascii="Times New Roman" w:hAnsi="Times New Roman" w:cs="Times New Roman"/>
          <w:bCs/>
          <w:sz w:val="20"/>
          <w:szCs w:val="20"/>
        </w:rPr>
        <w:t xml:space="preserve"> x</w:t>
      </w:r>
      <w:r w:rsidRPr="000D729C" w:rsidDel="00C66AC2">
        <w:rPr>
          <w:rFonts w:ascii="Times New Roman" w:hAnsi="Times New Roman" w:cs="Times New Roman"/>
          <w:b/>
          <w:bCs/>
          <w:sz w:val="24"/>
          <w:szCs w:val="24"/>
        </w:rPr>
        <w:t xml:space="preserve"> </w:t>
      </w:r>
      <w:r w:rsidRPr="000D729C">
        <w:rPr>
          <w:rFonts w:ascii="Times New Roman" w:hAnsi="Times New Roman" w:cs="Times New Roman"/>
          <w:b/>
          <w:bCs/>
          <w:sz w:val="24"/>
          <w:szCs w:val="24"/>
        </w:rPr>
        <w:t>Max (A</w:t>
      </w:r>
      <w:r w:rsidRPr="000D729C">
        <w:rPr>
          <w:rFonts w:ascii="Times New Roman" w:hAnsi="Times New Roman" w:cs="Times New Roman"/>
          <w:b/>
          <w:bCs/>
          <w:sz w:val="24"/>
          <w:szCs w:val="24"/>
          <w:vertAlign w:val="subscript"/>
        </w:rPr>
        <w:t>i</w:t>
      </w:r>
      <w:r w:rsidRPr="000D729C">
        <w:rPr>
          <w:rFonts w:ascii="Times New Roman" w:hAnsi="Times New Roman" w:cs="Times New Roman"/>
          <w:b/>
          <w:bCs/>
          <w:sz w:val="24"/>
          <w:szCs w:val="24"/>
        </w:rPr>
        <w:t>, A</w:t>
      </w:r>
      <w:r w:rsidRPr="000D729C">
        <w:rPr>
          <w:rFonts w:ascii="Times New Roman" w:hAnsi="Times New Roman" w:cs="Times New Roman"/>
          <w:b/>
          <w:bCs/>
          <w:sz w:val="24"/>
          <w:szCs w:val="24"/>
          <w:vertAlign w:val="subscript"/>
        </w:rPr>
        <w:t>e</w:t>
      </w:r>
      <w:r w:rsidRPr="000D729C">
        <w:rPr>
          <w:rFonts w:ascii="Times New Roman" w:hAnsi="Times New Roman" w:cs="Times New Roman"/>
          <w:b/>
          <w:bCs/>
          <w:sz w:val="24"/>
          <w:szCs w:val="24"/>
        </w:rPr>
        <w:t xml:space="preserve">)) </w:t>
      </w:r>
      <w:r w:rsidRPr="000D729C">
        <w:rPr>
          <w:rFonts w:ascii="Times New Roman" w:hAnsi="Times New Roman" w:cs="Times New Roman"/>
          <w:bCs/>
          <w:sz w:val="20"/>
          <w:szCs w:val="20"/>
        </w:rPr>
        <w:t>x</w:t>
      </w:r>
      <w:r w:rsidRPr="000D729C">
        <w:rPr>
          <w:rFonts w:ascii="Times New Roman" w:hAnsi="Times New Roman" w:cs="Times New Roman"/>
          <w:b/>
          <w:bCs/>
          <w:sz w:val="24"/>
          <w:szCs w:val="24"/>
        </w:rPr>
        <w:t xml:space="preserve"> P</w:t>
      </w:r>
      <w:r w:rsidRPr="000D729C">
        <w:rPr>
          <w:rFonts w:ascii="Times New Roman" w:hAnsi="Times New Roman" w:cs="Times New Roman"/>
          <w:b/>
          <w:bCs/>
          <w:sz w:val="24"/>
          <w:szCs w:val="24"/>
          <w:vertAlign w:val="subscript"/>
        </w:rPr>
        <w:t>MC</w:t>
      </w:r>
      <w:r w:rsidRPr="000D729C">
        <w:rPr>
          <w:rFonts w:ascii="Times New Roman" w:hAnsi="Times New Roman" w:cs="Times New Roman"/>
          <w:b/>
          <w:bCs/>
          <w:sz w:val="24"/>
          <w:szCs w:val="24"/>
        </w:rPr>
        <w:t xml:space="preserve">    </w:t>
      </w:r>
      <w:r w:rsidRPr="000D729C">
        <w:rPr>
          <w:rFonts w:ascii="Times New Roman" w:hAnsi="Times New Roman" w:cs="Times New Roman"/>
          <w:bCs/>
          <w:sz w:val="24"/>
          <w:szCs w:val="24"/>
        </w:rPr>
        <w:t>(4)</w:t>
      </w:r>
    </w:p>
    <w:p w14:paraId="741C0E73" w14:textId="77777777" w:rsidR="000E179C" w:rsidRPr="000D729C" w:rsidRDefault="000E179C" w:rsidP="00B1546B">
      <w:pPr>
        <w:spacing w:line="276" w:lineRule="auto"/>
        <w:ind w:firstLine="567"/>
        <w:rPr>
          <w:rFonts w:ascii="Times New Roman" w:hAnsi="Times New Roman" w:cs="Times New Roman"/>
          <w:bCs/>
          <w:sz w:val="24"/>
          <w:szCs w:val="24"/>
        </w:rPr>
      </w:pPr>
      <w:r w:rsidRPr="000D729C">
        <w:rPr>
          <w:rFonts w:ascii="Times New Roman" w:hAnsi="Times New Roman" w:cs="Times New Roman"/>
          <w:bCs/>
          <w:sz w:val="24"/>
          <w:szCs w:val="24"/>
        </w:rPr>
        <w:t>unde:</w:t>
      </w:r>
    </w:p>
    <w:p w14:paraId="73633953" w14:textId="77777777" w:rsidR="000E179C" w:rsidRPr="000D729C" w:rsidRDefault="000E179C" w:rsidP="00B1546B">
      <w:pPr>
        <w:pStyle w:val="BodyText"/>
        <w:spacing w:before="1" w:line="276" w:lineRule="auto"/>
        <w:ind w:left="142" w:firstLine="425"/>
        <w:jc w:val="both"/>
        <w:rPr>
          <w:rFonts w:ascii="Times New Roman" w:hAnsi="Times New Roman" w:cs="Times New Roman"/>
          <w:sz w:val="24"/>
          <w:szCs w:val="24"/>
        </w:rPr>
      </w:pPr>
      <w:r w:rsidRPr="000D729C">
        <w:rPr>
          <w:rFonts w:ascii="Times New Roman" w:hAnsi="Times New Roman" w:cs="Times New Roman"/>
          <w:b/>
          <w:sz w:val="24"/>
          <w:szCs w:val="24"/>
        </w:rPr>
        <w:t>TL</w:t>
      </w:r>
      <w:r w:rsidRPr="000D729C">
        <w:rPr>
          <w:rFonts w:ascii="Times New Roman" w:hAnsi="Times New Roman" w:cs="Times New Roman"/>
          <w:sz w:val="24"/>
          <w:szCs w:val="24"/>
        </w:rPr>
        <w:t xml:space="preserve"> - nivelul de toleranță;</w:t>
      </w:r>
    </w:p>
    <w:p w14:paraId="409B268E" w14:textId="2AF31DD7" w:rsidR="000E179C" w:rsidRPr="000D729C" w:rsidRDefault="000E179C" w:rsidP="00B1546B">
      <w:pPr>
        <w:pStyle w:val="BodyText"/>
        <w:spacing w:line="276" w:lineRule="auto"/>
        <w:ind w:left="142" w:firstLine="425"/>
        <w:jc w:val="both"/>
        <w:rPr>
          <w:rFonts w:ascii="Times New Roman" w:hAnsi="Times New Roman" w:cs="Times New Roman"/>
          <w:sz w:val="24"/>
          <w:szCs w:val="24"/>
        </w:rPr>
      </w:pPr>
      <w:r w:rsidRPr="000D729C">
        <w:rPr>
          <w:rFonts w:ascii="Times New Roman" w:hAnsi="Times New Roman" w:cs="Times New Roman"/>
          <w:b/>
          <w:sz w:val="24"/>
          <w:szCs w:val="24"/>
        </w:rPr>
        <w:t>Max</w:t>
      </w:r>
      <w:r w:rsidR="007C5745" w:rsidRPr="000D729C">
        <w:rPr>
          <w:rFonts w:ascii="Times New Roman" w:hAnsi="Times New Roman" w:cs="Times New Roman"/>
          <w:b/>
          <w:sz w:val="24"/>
          <w:szCs w:val="24"/>
        </w:rPr>
        <w:t xml:space="preserve"> </w:t>
      </w:r>
      <w:r w:rsidRPr="000D729C">
        <w:rPr>
          <w:rFonts w:ascii="Times New Roman" w:hAnsi="Times New Roman" w:cs="Times New Roman"/>
          <w:b/>
          <w:sz w:val="24"/>
          <w:szCs w:val="24"/>
        </w:rPr>
        <w:t>(A</w:t>
      </w:r>
      <w:r w:rsidRPr="000D729C">
        <w:rPr>
          <w:rFonts w:ascii="Times New Roman" w:hAnsi="Times New Roman" w:cs="Times New Roman"/>
          <w:b/>
          <w:sz w:val="24"/>
          <w:szCs w:val="24"/>
          <w:vertAlign w:val="subscript"/>
        </w:rPr>
        <w:t>i</w:t>
      </w:r>
      <w:r w:rsidRPr="000D729C">
        <w:rPr>
          <w:rFonts w:ascii="Times New Roman" w:hAnsi="Times New Roman" w:cs="Times New Roman"/>
          <w:b/>
          <w:sz w:val="24"/>
          <w:szCs w:val="24"/>
        </w:rPr>
        <w:t>, A</w:t>
      </w:r>
      <w:r w:rsidRPr="000D729C">
        <w:rPr>
          <w:rFonts w:ascii="Times New Roman" w:hAnsi="Times New Roman" w:cs="Times New Roman"/>
          <w:b/>
          <w:sz w:val="24"/>
          <w:szCs w:val="24"/>
          <w:vertAlign w:val="subscript"/>
        </w:rPr>
        <w:t>e</w:t>
      </w:r>
      <w:r w:rsidRPr="000D729C">
        <w:rPr>
          <w:rFonts w:ascii="Times New Roman" w:hAnsi="Times New Roman" w:cs="Times New Roman"/>
          <w:b/>
          <w:sz w:val="24"/>
          <w:szCs w:val="24"/>
        </w:rPr>
        <w:t xml:space="preserve">) </w:t>
      </w:r>
      <w:r w:rsidRPr="000D729C">
        <w:rPr>
          <w:rFonts w:ascii="Times New Roman" w:hAnsi="Times New Roman" w:cs="Times New Roman"/>
          <w:sz w:val="24"/>
          <w:szCs w:val="24"/>
        </w:rPr>
        <w:t>- valoarea maximă dintre cantitatea de gaze naturale alocate în punctele de intrare ale rețelei de transport sau cantitatea de gaze naturale alocată în punctele de ieșire ale rețelei de transport.</w:t>
      </w:r>
    </w:p>
    <w:p w14:paraId="24878E72" w14:textId="77777777" w:rsidR="000E179C" w:rsidRPr="000D729C" w:rsidRDefault="000E179C" w:rsidP="00B1546B">
      <w:pPr>
        <w:pStyle w:val="BodyText"/>
        <w:tabs>
          <w:tab w:val="left" w:pos="567"/>
        </w:tabs>
        <w:spacing w:line="276" w:lineRule="auto"/>
        <w:ind w:firstLine="567"/>
        <w:jc w:val="both"/>
        <w:rPr>
          <w:rFonts w:ascii="Times New Roman" w:hAnsi="Times New Roman" w:cs="Times New Roman"/>
          <w:bCs/>
          <w:sz w:val="24"/>
          <w:szCs w:val="24"/>
        </w:rPr>
      </w:pPr>
      <w:r w:rsidRPr="000D729C">
        <w:rPr>
          <w:rFonts w:ascii="Times New Roman" w:hAnsi="Times New Roman" w:cs="Times New Roman"/>
          <w:b/>
          <w:bCs/>
          <w:sz w:val="24"/>
          <w:szCs w:val="24"/>
        </w:rPr>
        <w:t>P</w:t>
      </w:r>
      <w:r w:rsidRPr="000D729C">
        <w:rPr>
          <w:rFonts w:ascii="Times New Roman" w:hAnsi="Times New Roman" w:cs="Times New Roman"/>
          <w:b/>
          <w:bCs/>
          <w:sz w:val="24"/>
          <w:szCs w:val="24"/>
          <w:vertAlign w:val="subscript"/>
        </w:rPr>
        <w:t>MC</w:t>
      </w:r>
      <w:r w:rsidRPr="000D729C">
        <w:rPr>
          <w:rFonts w:ascii="Times New Roman" w:hAnsi="Times New Roman" w:cs="Times New Roman"/>
          <w:b/>
          <w:bCs/>
          <w:sz w:val="24"/>
          <w:szCs w:val="24"/>
        </w:rPr>
        <w:t xml:space="preserve"> </w:t>
      </w:r>
      <w:r w:rsidRPr="000D729C">
        <w:rPr>
          <w:rFonts w:ascii="Times New Roman" w:hAnsi="Times New Roman" w:cs="Times New Roman"/>
          <w:bCs/>
          <w:sz w:val="24"/>
          <w:szCs w:val="24"/>
        </w:rPr>
        <w:t>- prețul marginal de cumpărare este dat de cea mai mare valoare dintre următoarele:</w:t>
      </w:r>
    </w:p>
    <w:p w14:paraId="7F707B82" w14:textId="72A4CC3E" w:rsidR="000E179C" w:rsidRPr="000D729C" w:rsidRDefault="000E179C" w:rsidP="004A17FD">
      <w:pPr>
        <w:pStyle w:val="ListParagraph"/>
        <w:numPr>
          <w:ilvl w:val="0"/>
          <w:numId w:val="18"/>
        </w:numPr>
        <w:tabs>
          <w:tab w:val="left" w:pos="851"/>
          <w:tab w:val="left" w:pos="993"/>
        </w:tabs>
        <w:spacing w:line="276" w:lineRule="auto"/>
        <w:ind w:left="142" w:firstLine="425"/>
        <w:jc w:val="both"/>
        <w:rPr>
          <w:rFonts w:ascii="Times New Roman" w:hAnsi="Times New Roman" w:cs="Times New Roman"/>
          <w:bCs/>
          <w:sz w:val="24"/>
          <w:szCs w:val="24"/>
        </w:rPr>
      </w:pPr>
      <w:r w:rsidRPr="000D729C">
        <w:rPr>
          <w:rFonts w:ascii="Times New Roman" w:hAnsi="Times New Roman" w:cs="Times New Roman"/>
          <w:bCs/>
          <w:sz w:val="24"/>
          <w:szCs w:val="24"/>
        </w:rPr>
        <w:t>cel mai mare preț la care OST a efectuat tranzacții de cumpărare pentru ziua gazieră respectivă (</w:t>
      </w:r>
      <w:r w:rsidRPr="000D729C">
        <w:rPr>
          <w:rFonts w:ascii="Times New Roman" w:hAnsi="Times New Roman" w:cs="Times New Roman"/>
          <w:b/>
          <w:bCs/>
          <w:sz w:val="24"/>
          <w:szCs w:val="24"/>
        </w:rPr>
        <w:t>C</w:t>
      </w:r>
      <w:r w:rsidRPr="000D729C">
        <w:rPr>
          <w:rFonts w:ascii="Times New Roman" w:hAnsi="Times New Roman" w:cs="Times New Roman"/>
          <w:b/>
          <w:bCs/>
          <w:sz w:val="24"/>
          <w:szCs w:val="24"/>
          <w:vertAlign w:val="subscript"/>
        </w:rPr>
        <w:t>MMPC</w:t>
      </w:r>
      <w:r w:rsidRPr="000D729C">
        <w:rPr>
          <w:rFonts w:ascii="Times New Roman" w:hAnsi="Times New Roman" w:cs="Times New Roman"/>
          <w:bCs/>
          <w:sz w:val="24"/>
          <w:szCs w:val="24"/>
        </w:rPr>
        <w:t>);</w:t>
      </w:r>
    </w:p>
    <w:p w14:paraId="193F311A" w14:textId="559EF999" w:rsidR="000E179C" w:rsidRPr="000D729C" w:rsidRDefault="000E179C" w:rsidP="004A17FD">
      <w:pPr>
        <w:pStyle w:val="ListParagraph"/>
        <w:numPr>
          <w:ilvl w:val="0"/>
          <w:numId w:val="18"/>
        </w:numPr>
        <w:tabs>
          <w:tab w:val="left" w:pos="851"/>
          <w:tab w:val="left" w:pos="993"/>
        </w:tabs>
        <w:spacing w:line="276" w:lineRule="auto"/>
        <w:ind w:left="142" w:firstLine="425"/>
        <w:jc w:val="both"/>
        <w:rPr>
          <w:rFonts w:ascii="Times New Roman" w:hAnsi="Times New Roman" w:cs="Times New Roman"/>
          <w:bCs/>
          <w:sz w:val="24"/>
          <w:szCs w:val="24"/>
        </w:rPr>
      </w:pPr>
      <w:r w:rsidRPr="000D729C">
        <w:rPr>
          <w:rFonts w:ascii="Times New Roman" w:hAnsi="Times New Roman" w:cs="Times New Roman"/>
          <w:bCs/>
          <w:sz w:val="24"/>
          <w:szCs w:val="24"/>
        </w:rPr>
        <w:t>prețul mediu ponderat al tranzacțiilor de cumpărare efectuate de către OST la PVT pentru ziua gazieră respectivă (</w:t>
      </w:r>
      <w:r w:rsidRPr="000D729C">
        <w:rPr>
          <w:rFonts w:ascii="Times New Roman" w:hAnsi="Times New Roman" w:cs="Times New Roman"/>
          <w:b/>
          <w:bCs/>
          <w:sz w:val="24"/>
          <w:szCs w:val="24"/>
        </w:rPr>
        <w:t>P</w:t>
      </w:r>
      <w:r w:rsidRPr="000D729C">
        <w:rPr>
          <w:rFonts w:ascii="Times New Roman" w:hAnsi="Times New Roman" w:cs="Times New Roman"/>
          <w:b/>
          <w:bCs/>
          <w:sz w:val="24"/>
          <w:szCs w:val="24"/>
          <w:vertAlign w:val="subscript"/>
        </w:rPr>
        <w:t>MPC</w:t>
      </w:r>
      <w:r w:rsidRPr="000D729C">
        <w:rPr>
          <w:rFonts w:ascii="Times New Roman" w:hAnsi="Times New Roman" w:cs="Times New Roman"/>
          <w:bCs/>
          <w:sz w:val="24"/>
          <w:szCs w:val="24"/>
        </w:rPr>
        <w:t>), înmulțit cu coeficientul 1,1;</w:t>
      </w:r>
    </w:p>
    <w:p w14:paraId="284B6420" w14:textId="2E9D5A04" w:rsidR="000E179C" w:rsidRPr="000D729C" w:rsidRDefault="000E179C" w:rsidP="004A17FD">
      <w:pPr>
        <w:pStyle w:val="ListParagraph"/>
        <w:numPr>
          <w:ilvl w:val="0"/>
          <w:numId w:val="18"/>
        </w:numPr>
        <w:tabs>
          <w:tab w:val="left" w:pos="851"/>
          <w:tab w:val="left" w:pos="993"/>
        </w:tabs>
        <w:spacing w:line="276" w:lineRule="auto"/>
        <w:ind w:left="142" w:firstLine="425"/>
        <w:jc w:val="both"/>
        <w:rPr>
          <w:rFonts w:ascii="Times New Roman" w:hAnsi="Times New Roman" w:cs="Times New Roman"/>
          <w:position w:val="2"/>
          <w:sz w:val="24"/>
          <w:szCs w:val="24"/>
        </w:rPr>
      </w:pPr>
      <w:r w:rsidRPr="000D729C">
        <w:rPr>
          <w:rFonts w:ascii="Times New Roman" w:hAnsi="Times New Roman" w:cs="Times New Roman"/>
          <w:sz w:val="24"/>
        </w:rPr>
        <w:t>prețul</w:t>
      </w:r>
      <w:r w:rsidRPr="000D729C">
        <w:rPr>
          <w:rFonts w:ascii="Times New Roman" w:hAnsi="Times New Roman" w:cs="Times New Roman"/>
          <w:position w:val="2"/>
          <w:sz w:val="28"/>
          <w:szCs w:val="24"/>
        </w:rPr>
        <w:t xml:space="preserve"> </w:t>
      </w:r>
      <w:r w:rsidRPr="000D729C">
        <w:rPr>
          <w:rFonts w:ascii="Times New Roman" w:hAnsi="Times New Roman" w:cs="Times New Roman"/>
          <w:position w:val="2"/>
          <w:sz w:val="24"/>
          <w:szCs w:val="24"/>
        </w:rPr>
        <w:t>referință în ziua gazieră</w:t>
      </w:r>
      <w:r w:rsidRPr="000D729C">
        <w:rPr>
          <w:rFonts w:ascii="Times New Roman" w:hAnsi="Times New Roman" w:cs="Times New Roman"/>
          <w:b/>
          <w:bCs/>
          <w:sz w:val="24"/>
          <w:szCs w:val="24"/>
        </w:rPr>
        <w:t xml:space="preserve"> (P</w:t>
      </w:r>
      <w:r w:rsidRPr="000D729C">
        <w:rPr>
          <w:rFonts w:ascii="Times New Roman" w:hAnsi="Times New Roman" w:cs="Times New Roman"/>
          <w:b/>
          <w:bCs/>
          <w:sz w:val="24"/>
          <w:szCs w:val="24"/>
          <w:vertAlign w:val="subscript"/>
        </w:rPr>
        <w:t>R</w:t>
      </w:r>
      <w:r w:rsidRPr="000D729C">
        <w:rPr>
          <w:rFonts w:ascii="Times New Roman" w:hAnsi="Times New Roman" w:cs="Times New Roman"/>
          <w:b/>
          <w:bCs/>
          <w:sz w:val="24"/>
          <w:szCs w:val="24"/>
        </w:rPr>
        <w:t>)</w:t>
      </w:r>
      <w:r w:rsidRPr="000D729C">
        <w:rPr>
          <w:rFonts w:ascii="Times New Roman" w:hAnsi="Times New Roman" w:cs="Times New Roman"/>
          <w:position w:val="2"/>
          <w:sz w:val="24"/>
          <w:szCs w:val="24"/>
        </w:rPr>
        <w:t xml:space="preserve">, </w:t>
      </w:r>
      <w:r w:rsidRPr="000D729C">
        <w:rPr>
          <w:rFonts w:ascii="Times New Roman" w:hAnsi="Times New Roman" w:cs="Times New Roman"/>
          <w:bCs/>
          <w:sz w:val="24"/>
          <w:szCs w:val="24"/>
        </w:rPr>
        <w:t>înmulțit cu coeficientul 1,1</w:t>
      </w:r>
      <w:r w:rsidRPr="000D729C">
        <w:rPr>
          <w:rFonts w:ascii="Times New Roman" w:hAnsi="Times New Roman" w:cs="Times New Roman"/>
          <w:position w:val="2"/>
          <w:sz w:val="24"/>
          <w:szCs w:val="24"/>
        </w:rPr>
        <w:t xml:space="preserve">; </w:t>
      </w:r>
    </w:p>
    <w:p w14:paraId="73C0E1CB" w14:textId="77777777" w:rsidR="000E179C" w:rsidRPr="000D729C" w:rsidRDefault="000E179C" w:rsidP="00251A69">
      <w:pPr>
        <w:spacing w:before="120" w:after="120" w:line="276" w:lineRule="auto"/>
        <w:ind w:firstLine="567"/>
        <w:jc w:val="center"/>
        <w:rPr>
          <w:rFonts w:ascii="Times New Roman" w:hAnsi="Times New Roman" w:cs="Times New Roman"/>
          <w:bCs/>
          <w:sz w:val="24"/>
          <w:szCs w:val="24"/>
        </w:rPr>
      </w:pPr>
      <w:r w:rsidRPr="000D729C">
        <w:rPr>
          <w:rFonts w:ascii="Times New Roman" w:hAnsi="Times New Roman" w:cs="Times New Roman"/>
          <w:b/>
          <w:bCs/>
          <w:sz w:val="24"/>
          <w:szCs w:val="24"/>
        </w:rPr>
        <w:t>P</w:t>
      </w:r>
      <w:r w:rsidRPr="000D729C">
        <w:rPr>
          <w:rFonts w:ascii="Times New Roman" w:hAnsi="Times New Roman" w:cs="Times New Roman"/>
          <w:b/>
          <w:bCs/>
          <w:sz w:val="24"/>
          <w:szCs w:val="24"/>
          <w:vertAlign w:val="subscript"/>
        </w:rPr>
        <w:t>MC</w:t>
      </w:r>
      <w:r w:rsidRPr="000D729C">
        <w:rPr>
          <w:rFonts w:ascii="Times New Roman" w:hAnsi="Times New Roman" w:cs="Times New Roman"/>
          <w:b/>
          <w:bCs/>
          <w:sz w:val="24"/>
          <w:szCs w:val="24"/>
        </w:rPr>
        <w:t>=Max (C</w:t>
      </w:r>
      <w:r w:rsidRPr="000D729C">
        <w:rPr>
          <w:rFonts w:ascii="Times New Roman" w:hAnsi="Times New Roman" w:cs="Times New Roman"/>
          <w:b/>
          <w:bCs/>
          <w:sz w:val="24"/>
          <w:szCs w:val="24"/>
          <w:vertAlign w:val="subscript"/>
        </w:rPr>
        <w:t>MMPC</w:t>
      </w:r>
      <w:r w:rsidRPr="000D729C">
        <w:rPr>
          <w:rFonts w:ascii="Times New Roman" w:hAnsi="Times New Roman" w:cs="Times New Roman"/>
          <w:b/>
          <w:bCs/>
          <w:sz w:val="24"/>
          <w:szCs w:val="24"/>
        </w:rPr>
        <w:t>, (P</w:t>
      </w:r>
      <w:r w:rsidRPr="000D729C">
        <w:rPr>
          <w:rFonts w:ascii="Times New Roman" w:hAnsi="Times New Roman" w:cs="Times New Roman"/>
          <w:b/>
          <w:bCs/>
          <w:sz w:val="24"/>
          <w:szCs w:val="24"/>
          <w:vertAlign w:val="subscript"/>
        </w:rPr>
        <w:t>MPC</w:t>
      </w:r>
      <w:r w:rsidRPr="000D729C">
        <w:rPr>
          <w:rFonts w:ascii="Times New Roman" w:hAnsi="Times New Roman" w:cs="Times New Roman"/>
          <w:bCs/>
          <w:sz w:val="20"/>
          <w:szCs w:val="20"/>
        </w:rPr>
        <w:t xml:space="preserve"> x</w:t>
      </w:r>
      <w:r w:rsidRPr="000D729C" w:rsidDel="002354DF">
        <w:rPr>
          <w:rFonts w:ascii="Times New Roman" w:hAnsi="Times New Roman" w:cs="Times New Roman"/>
          <w:b/>
          <w:bCs/>
          <w:sz w:val="24"/>
          <w:szCs w:val="24"/>
        </w:rPr>
        <w:t xml:space="preserve"> </w:t>
      </w:r>
      <w:r w:rsidRPr="000D729C">
        <w:rPr>
          <w:rFonts w:ascii="Times New Roman" w:hAnsi="Times New Roman" w:cs="Times New Roman"/>
          <w:b/>
          <w:bCs/>
          <w:sz w:val="24"/>
          <w:szCs w:val="24"/>
        </w:rPr>
        <w:t>1,1), (P</w:t>
      </w:r>
      <w:r w:rsidRPr="000D729C">
        <w:rPr>
          <w:rFonts w:ascii="Times New Roman" w:hAnsi="Times New Roman" w:cs="Times New Roman"/>
          <w:b/>
          <w:bCs/>
          <w:sz w:val="24"/>
          <w:szCs w:val="24"/>
          <w:vertAlign w:val="subscript"/>
        </w:rPr>
        <w:t>R</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1,1))</w:t>
      </w:r>
    </w:p>
    <w:p w14:paraId="01A73492" w14:textId="77777777" w:rsidR="007C5745" w:rsidRPr="000D729C" w:rsidRDefault="007C5745" w:rsidP="00B1546B">
      <w:pPr>
        <w:pStyle w:val="BodyText"/>
        <w:spacing w:before="1" w:line="276" w:lineRule="auto"/>
        <w:ind w:firstLine="567"/>
        <w:jc w:val="both"/>
        <w:rPr>
          <w:rFonts w:ascii="Times New Roman" w:hAnsi="Times New Roman" w:cs="Times New Roman"/>
          <w:sz w:val="24"/>
          <w:szCs w:val="24"/>
        </w:rPr>
      </w:pPr>
    </w:p>
    <w:p w14:paraId="10532776" w14:textId="7AB80BBC" w:rsidR="000E179C" w:rsidRPr="000D729C" w:rsidRDefault="000E179C" w:rsidP="00B1546B">
      <w:pPr>
        <w:pStyle w:val="BodyText"/>
        <w:spacing w:before="1"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În cazul în care o PRE are dezechilibru </w:t>
      </w:r>
      <w:r w:rsidRPr="000D729C">
        <w:rPr>
          <w:rFonts w:ascii="Times New Roman" w:hAnsi="Times New Roman" w:cs="Times New Roman"/>
          <w:b/>
          <w:sz w:val="24"/>
          <w:szCs w:val="24"/>
        </w:rPr>
        <w:t>zilnic POZITIV/EXCEDENT</w:t>
      </w:r>
      <w:r w:rsidRPr="000D729C">
        <w:rPr>
          <w:rFonts w:ascii="Times New Roman" w:hAnsi="Times New Roman" w:cs="Times New Roman"/>
          <w:sz w:val="24"/>
          <w:szCs w:val="24"/>
        </w:rPr>
        <w:t xml:space="preserve"> și </w:t>
      </w:r>
      <w:r w:rsidRPr="000D729C">
        <w:rPr>
          <w:rFonts w:ascii="Times New Roman" w:hAnsi="Times New Roman" w:cs="Times New Roman"/>
          <w:b/>
          <w:sz w:val="24"/>
          <w:szCs w:val="24"/>
        </w:rPr>
        <w:t>se încadrează în nivelul de toleranță</w:t>
      </w:r>
      <w:r w:rsidRPr="000D729C">
        <w:rPr>
          <w:rFonts w:ascii="Times New Roman" w:hAnsi="Times New Roman" w:cs="Times New Roman"/>
          <w:sz w:val="24"/>
          <w:szCs w:val="24"/>
        </w:rPr>
        <w:t>, plata pentru dezechilibrul zilnic a unei zile gaziere D-1, care urmează să fie creditată către PRE, se calculează cu formula:</w:t>
      </w:r>
    </w:p>
    <w:p w14:paraId="493C72AE" w14:textId="28A69567" w:rsidR="000E179C" w:rsidRPr="000D729C" w:rsidRDefault="000E179C" w:rsidP="00C7294A">
      <w:pPr>
        <w:spacing w:before="120" w:after="120" w:line="276" w:lineRule="auto"/>
        <w:ind w:firstLine="567"/>
        <w:jc w:val="center"/>
        <w:rPr>
          <w:rFonts w:ascii="Times New Roman" w:hAnsi="Times New Roman" w:cs="Times New Roman"/>
          <w:sz w:val="24"/>
          <w:szCs w:val="24"/>
        </w:rPr>
      </w:pPr>
      <w:r w:rsidRPr="000D729C">
        <w:rPr>
          <w:rFonts w:ascii="Times New Roman" w:hAnsi="Times New Roman" w:cs="Times New Roman"/>
          <w:b/>
          <w:position w:val="2"/>
          <w:sz w:val="24"/>
          <w:szCs w:val="24"/>
        </w:rPr>
        <w:t>P</w:t>
      </w:r>
      <w:r w:rsidRPr="000D729C">
        <w:rPr>
          <w:rFonts w:ascii="Times New Roman" w:hAnsi="Times New Roman" w:cs="Times New Roman"/>
          <w:b/>
          <w:sz w:val="24"/>
          <w:szCs w:val="24"/>
          <w:vertAlign w:val="subscript"/>
        </w:rPr>
        <w:t>DP</w:t>
      </w:r>
      <w:r w:rsidRPr="000D729C">
        <w:rPr>
          <w:rFonts w:ascii="Times New Roman" w:hAnsi="Times New Roman" w:cs="Times New Roman"/>
          <w:b/>
          <w:sz w:val="24"/>
          <w:szCs w:val="24"/>
        </w:rPr>
        <w:t xml:space="preserve"> </w:t>
      </w:r>
      <w:r w:rsidRPr="000D729C">
        <w:rPr>
          <w:rFonts w:ascii="Times New Roman" w:hAnsi="Times New Roman" w:cs="Times New Roman"/>
          <w:b/>
          <w:position w:val="2"/>
          <w:sz w:val="24"/>
          <w:szCs w:val="24"/>
        </w:rPr>
        <w:t>= Q</w:t>
      </w:r>
      <w:r w:rsidRPr="000D729C">
        <w:rPr>
          <w:rFonts w:ascii="Times New Roman" w:hAnsi="Times New Roman" w:cs="Times New Roman"/>
          <w:b/>
          <w:sz w:val="24"/>
          <w:szCs w:val="24"/>
          <w:vertAlign w:val="subscript"/>
        </w:rPr>
        <w:t>D</w:t>
      </w:r>
      <w:r w:rsidRPr="000D729C">
        <w:rPr>
          <w:rFonts w:ascii="Times New Roman" w:hAnsi="Times New Roman" w:cs="Times New Roman"/>
          <w:b/>
          <w:position w:val="2"/>
          <w:sz w:val="24"/>
          <w:szCs w:val="24"/>
        </w:rPr>
        <w:t xml:space="preserve"> </w:t>
      </w:r>
      <w:r w:rsidRPr="000D729C">
        <w:rPr>
          <w:rFonts w:ascii="Times New Roman" w:hAnsi="Times New Roman" w:cs="Times New Roman"/>
          <w:bCs/>
          <w:sz w:val="20"/>
          <w:szCs w:val="20"/>
        </w:rPr>
        <w:t>x</w:t>
      </w:r>
      <w:r w:rsidRPr="000D729C">
        <w:rPr>
          <w:rFonts w:ascii="Times New Roman" w:hAnsi="Times New Roman" w:cs="Times New Roman"/>
          <w:b/>
          <w:position w:val="2"/>
          <w:sz w:val="24"/>
          <w:szCs w:val="24"/>
        </w:rPr>
        <w:t xml:space="preserve"> P</w:t>
      </w:r>
      <w:r w:rsidRPr="000D729C">
        <w:rPr>
          <w:rFonts w:ascii="Times New Roman" w:hAnsi="Times New Roman" w:cs="Times New Roman"/>
          <w:b/>
          <w:sz w:val="24"/>
          <w:szCs w:val="24"/>
          <w:vertAlign w:val="subscript"/>
        </w:rPr>
        <w:t>R</w:t>
      </w:r>
      <w:r w:rsidRPr="000D729C">
        <w:rPr>
          <w:rFonts w:ascii="Times New Roman" w:hAnsi="Times New Roman" w:cs="Times New Roman"/>
          <w:sz w:val="24"/>
          <w:szCs w:val="24"/>
        </w:rPr>
        <w:t xml:space="preserve">               (5)</w:t>
      </w:r>
    </w:p>
    <w:p w14:paraId="2F084F2F" w14:textId="77777777" w:rsidR="000E179C" w:rsidRPr="000D729C" w:rsidRDefault="000E179C" w:rsidP="00B1546B">
      <w:pPr>
        <w:pStyle w:val="BodyText"/>
        <w:spacing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În cazul în care o PRE are un dezechilibru </w:t>
      </w:r>
      <w:r w:rsidRPr="000D729C">
        <w:rPr>
          <w:rFonts w:ascii="Times New Roman" w:hAnsi="Times New Roman" w:cs="Times New Roman"/>
          <w:b/>
          <w:sz w:val="24"/>
          <w:szCs w:val="24"/>
        </w:rPr>
        <w:t>zilnic POZITIV/EXCEDENT</w:t>
      </w:r>
      <w:r w:rsidRPr="000D729C">
        <w:rPr>
          <w:rFonts w:ascii="Times New Roman" w:hAnsi="Times New Roman" w:cs="Times New Roman"/>
          <w:sz w:val="24"/>
          <w:szCs w:val="24"/>
        </w:rPr>
        <w:t xml:space="preserve"> și </w:t>
      </w:r>
      <w:r w:rsidRPr="000D729C">
        <w:rPr>
          <w:rFonts w:ascii="Times New Roman" w:hAnsi="Times New Roman" w:cs="Times New Roman"/>
          <w:b/>
          <w:sz w:val="24"/>
          <w:szCs w:val="24"/>
        </w:rPr>
        <w:t>a depășit nivelul de toleranță</w:t>
      </w:r>
      <w:r w:rsidRPr="000D729C">
        <w:rPr>
          <w:rFonts w:ascii="Times New Roman" w:hAnsi="Times New Roman" w:cs="Times New Roman"/>
          <w:sz w:val="24"/>
          <w:szCs w:val="24"/>
        </w:rPr>
        <w:t>, plata pentru dezechilibru zilnic a unei zile gaziere D, care urmează să fie plătită către PRE, se calculează cu formula:</w:t>
      </w:r>
    </w:p>
    <w:p w14:paraId="6CD28CF9" w14:textId="77777777" w:rsidR="000E179C" w:rsidRPr="000D729C" w:rsidRDefault="000E179C" w:rsidP="00251A69">
      <w:pPr>
        <w:spacing w:before="120" w:after="120" w:line="276" w:lineRule="auto"/>
        <w:ind w:firstLine="567"/>
        <w:jc w:val="center"/>
        <w:rPr>
          <w:rFonts w:ascii="Times New Roman" w:hAnsi="Times New Roman" w:cs="Times New Roman"/>
          <w:bCs/>
          <w:sz w:val="24"/>
          <w:szCs w:val="24"/>
        </w:rPr>
      </w:pPr>
      <w:r w:rsidRPr="000D729C">
        <w:rPr>
          <w:rFonts w:ascii="Times New Roman" w:hAnsi="Times New Roman" w:cs="Times New Roman"/>
          <w:b/>
          <w:bCs/>
          <w:sz w:val="24"/>
          <w:szCs w:val="24"/>
        </w:rPr>
        <w:t>P</w:t>
      </w:r>
      <w:r w:rsidRPr="000D729C">
        <w:rPr>
          <w:rFonts w:ascii="Times New Roman" w:hAnsi="Times New Roman" w:cs="Times New Roman"/>
          <w:b/>
          <w:bCs/>
          <w:sz w:val="24"/>
          <w:szCs w:val="24"/>
          <w:vertAlign w:val="subscript"/>
        </w:rPr>
        <w:t>DP</w:t>
      </w:r>
      <w:r w:rsidRPr="000D729C">
        <w:rPr>
          <w:rFonts w:ascii="Times New Roman" w:hAnsi="Times New Roman" w:cs="Times New Roman"/>
          <w:b/>
          <w:bCs/>
          <w:sz w:val="24"/>
          <w:szCs w:val="24"/>
        </w:rPr>
        <w:t>=TL</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Max(A</w:t>
      </w:r>
      <w:r w:rsidRPr="000D729C">
        <w:rPr>
          <w:rFonts w:ascii="Times New Roman" w:hAnsi="Times New Roman" w:cs="Times New Roman"/>
          <w:b/>
          <w:bCs/>
          <w:sz w:val="24"/>
          <w:szCs w:val="24"/>
          <w:vertAlign w:val="subscript"/>
        </w:rPr>
        <w:t>i</w:t>
      </w:r>
      <w:r w:rsidRPr="000D729C">
        <w:rPr>
          <w:rFonts w:ascii="Times New Roman" w:hAnsi="Times New Roman" w:cs="Times New Roman"/>
          <w:b/>
          <w:bCs/>
          <w:sz w:val="24"/>
          <w:szCs w:val="24"/>
        </w:rPr>
        <w:t>, A</w:t>
      </w:r>
      <w:r w:rsidRPr="000D729C">
        <w:rPr>
          <w:rFonts w:ascii="Times New Roman" w:hAnsi="Times New Roman" w:cs="Times New Roman"/>
          <w:b/>
          <w:bCs/>
          <w:sz w:val="24"/>
          <w:szCs w:val="24"/>
          <w:vertAlign w:val="subscript"/>
        </w:rPr>
        <w:t>e</w:t>
      </w:r>
      <w:r w:rsidRPr="000D729C">
        <w:rPr>
          <w:rFonts w:ascii="Times New Roman" w:hAnsi="Times New Roman" w:cs="Times New Roman"/>
          <w:b/>
          <w:bCs/>
          <w:sz w:val="24"/>
          <w:szCs w:val="24"/>
        </w:rPr>
        <w:t>)</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P</w:t>
      </w:r>
      <w:r w:rsidRPr="000D729C">
        <w:rPr>
          <w:rFonts w:ascii="Times New Roman" w:hAnsi="Times New Roman" w:cs="Times New Roman"/>
          <w:b/>
          <w:bCs/>
          <w:sz w:val="24"/>
          <w:szCs w:val="24"/>
          <w:vertAlign w:val="subscript"/>
        </w:rPr>
        <w:t xml:space="preserve">R </w:t>
      </w:r>
      <w:r w:rsidRPr="000D729C">
        <w:rPr>
          <w:rFonts w:ascii="Times New Roman" w:hAnsi="Times New Roman" w:cs="Times New Roman"/>
          <w:b/>
          <w:bCs/>
          <w:sz w:val="24"/>
          <w:szCs w:val="24"/>
        </w:rPr>
        <w:t>+ (Q</w:t>
      </w:r>
      <w:r w:rsidRPr="000D729C">
        <w:rPr>
          <w:rFonts w:ascii="Times New Roman" w:hAnsi="Times New Roman" w:cs="Times New Roman"/>
          <w:b/>
          <w:bCs/>
          <w:sz w:val="24"/>
          <w:szCs w:val="24"/>
          <w:vertAlign w:val="subscript"/>
        </w:rPr>
        <w:t xml:space="preserve">D </w:t>
      </w:r>
      <w:r w:rsidRPr="000D729C">
        <w:rPr>
          <w:rFonts w:ascii="Times New Roman" w:hAnsi="Times New Roman" w:cs="Times New Roman"/>
          <w:b/>
          <w:bCs/>
          <w:sz w:val="24"/>
          <w:szCs w:val="24"/>
        </w:rPr>
        <w:t>- TL</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Max (A</w:t>
      </w:r>
      <w:r w:rsidRPr="000D729C">
        <w:rPr>
          <w:rFonts w:ascii="Times New Roman" w:hAnsi="Times New Roman" w:cs="Times New Roman"/>
          <w:b/>
          <w:bCs/>
          <w:sz w:val="24"/>
          <w:szCs w:val="24"/>
          <w:vertAlign w:val="subscript"/>
        </w:rPr>
        <w:t>i</w:t>
      </w:r>
      <w:r w:rsidRPr="000D729C">
        <w:rPr>
          <w:rFonts w:ascii="Times New Roman" w:hAnsi="Times New Roman" w:cs="Times New Roman"/>
          <w:b/>
          <w:bCs/>
          <w:sz w:val="24"/>
          <w:szCs w:val="24"/>
        </w:rPr>
        <w:t>, A</w:t>
      </w:r>
      <w:r w:rsidRPr="000D729C">
        <w:rPr>
          <w:rFonts w:ascii="Times New Roman" w:hAnsi="Times New Roman" w:cs="Times New Roman"/>
          <w:b/>
          <w:bCs/>
          <w:sz w:val="24"/>
          <w:szCs w:val="24"/>
          <w:vertAlign w:val="subscript"/>
        </w:rPr>
        <w:t>e</w:t>
      </w:r>
      <w:r w:rsidRPr="000D729C">
        <w:rPr>
          <w:rFonts w:ascii="Times New Roman" w:hAnsi="Times New Roman" w:cs="Times New Roman"/>
          <w:b/>
          <w:bCs/>
          <w:sz w:val="24"/>
          <w:szCs w:val="24"/>
        </w:rPr>
        <w:t>))</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P</w:t>
      </w:r>
      <w:r w:rsidRPr="000D729C">
        <w:rPr>
          <w:rFonts w:ascii="Times New Roman" w:hAnsi="Times New Roman" w:cs="Times New Roman"/>
          <w:b/>
          <w:bCs/>
          <w:sz w:val="24"/>
          <w:szCs w:val="24"/>
          <w:vertAlign w:val="subscript"/>
        </w:rPr>
        <w:t>MV</w:t>
      </w:r>
      <w:r w:rsidRPr="000D729C">
        <w:rPr>
          <w:rFonts w:ascii="Times New Roman" w:hAnsi="Times New Roman" w:cs="Times New Roman"/>
          <w:bCs/>
          <w:sz w:val="24"/>
          <w:szCs w:val="24"/>
        </w:rPr>
        <w:t xml:space="preserve">   (6)</w:t>
      </w:r>
    </w:p>
    <w:p w14:paraId="46C33190" w14:textId="77777777" w:rsidR="000E179C" w:rsidRPr="000D729C" w:rsidRDefault="000E179C" w:rsidP="00B1546B">
      <w:pPr>
        <w:pStyle w:val="30"/>
        <w:shd w:val="clear" w:color="auto" w:fill="auto"/>
        <w:spacing w:after="0" w:line="276" w:lineRule="auto"/>
        <w:ind w:firstLine="567"/>
        <w:jc w:val="both"/>
        <w:rPr>
          <w:rFonts w:ascii="Times New Roman" w:hAnsi="Times New Roman" w:cs="Times New Roman"/>
          <w:b w:val="0"/>
          <w:sz w:val="24"/>
          <w:szCs w:val="24"/>
        </w:rPr>
      </w:pPr>
      <w:r w:rsidRPr="000D729C">
        <w:rPr>
          <w:rFonts w:ascii="Times New Roman" w:hAnsi="Times New Roman" w:cs="Times New Roman"/>
          <w:b w:val="0"/>
          <w:sz w:val="24"/>
          <w:szCs w:val="24"/>
        </w:rPr>
        <w:t>unde:</w:t>
      </w:r>
    </w:p>
    <w:p w14:paraId="49514591" w14:textId="77777777" w:rsidR="000E179C" w:rsidRPr="000D729C" w:rsidRDefault="000E179C" w:rsidP="00B1546B">
      <w:pPr>
        <w:pStyle w:val="30"/>
        <w:shd w:val="clear" w:color="auto" w:fill="auto"/>
        <w:spacing w:after="0" w:line="276" w:lineRule="auto"/>
        <w:ind w:firstLine="567"/>
        <w:jc w:val="both"/>
        <w:rPr>
          <w:rFonts w:ascii="Times New Roman" w:eastAsia="Times New Roman" w:hAnsi="Times New Roman" w:cs="Times New Roman"/>
          <w:b w:val="0"/>
          <w:bCs w:val="0"/>
          <w:sz w:val="24"/>
          <w:szCs w:val="24"/>
        </w:rPr>
      </w:pPr>
      <w:r w:rsidRPr="000D729C">
        <w:rPr>
          <w:rFonts w:ascii="Times New Roman" w:hAnsi="Times New Roman" w:cs="Times New Roman"/>
          <w:position w:val="2"/>
          <w:sz w:val="24"/>
          <w:szCs w:val="24"/>
        </w:rPr>
        <w:t>P</w:t>
      </w:r>
      <w:r w:rsidRPr="000D729C">
        <w:rPr>
          <w:rFonts w:ascii="Times New Roman" w:hAnsi="Times New Roman" w:cs="Times New Roman"/>
          <w:position w:val="2"/>
          <w:sz w:val="24"/>
          <w:szCs w:val="24"/>
          <w:vertAlign w:val="subscript"/>
        </w:rPr>
        <w:t>MV</w:t>
      </w:r>
      <w:r w:rsidRPr="000D729C">
        <w:rPr>
          <w:rFonts w:ascii="Times New Roman" w:hAnsi="Times New Roman" w:cs="Times New Roman"/>
          <w:position w:val="2"/>
          <w:sz w:val="24"/>
          <w:szCs w:val="24"/>
        </w:rPr>
        <w:t xml:space="preserve"> - </w:t>
      </w:r>
      <w:r w:rsidRPr="000D729C">
        <w:rPr>
          <w:rFonts w:ascii="Times New Roman" w:eastAsia="Times New Roman" w:hAnsi="Times New Roman" w:cs="Times New Roman"/>
          <w:b w:val="0"/>
          <w:bCs w:val="0"/>
          <w:sz w:val="24"/>
          <w:szCs w:val="24"/>
        </w:rPr>
        <w:t>prețul marginal de vânzare este dat de cea mai mică valoare dintre următoarele:</w:t>
      </w:r>
    </w:p>
    <w:p w14:paraId="4DE6A6DD" w14:textId="34716A79" w:rsidR="000E179C" w:rsidRPr="000D729C" w:rsidRDefault="000E179C" w:rsidP="004A17FD">
      <w:pPr>
        <w:pStyle w:val="1"/>
        <w:numPr>
          <w:ilvl w:val="0"/>
          <w:numId w:val="19"/>
        </w:numPr>
        <w:shd w:val="clear" w:color="auto" w:fill="auto"/>
        <w:tabs>
          <w:tab w:val="left" w:pos="715"/>
          <w:tab w:val="left" w:pos="993"/>
        </w:tabs>
        <w:spacing w:before="0" w:line="276" w:lineRule="auto"/>
        <w:ind w:left="0" w:right="20" w:firstLine="567"/>
        <w:jc w:val="both"/>
        <w:rPr>
          <w:rFonts w:ascii="Times New Roman" w:eastAsia="Times New Roman" w:hAnsi="Times New Roman" w:cs="Times New Roman"/>
          <w:sz w:val="24"/>
          <w:szCs w:val="24"/>
        </w:rPr>
      </w:pPr>
      <w:bookmarkStart w:id="14" w:name="_Hlk174447373"/>
      <w:r w:rsidRPr="000D729C">
        <w:rPr>
          <w:rFonts w:ascii="Times New Roman" w:eastAsia="Times New Roman" w:hAnsi="Times New Roman" w:cs="Times New Roman"/>
          <w:sz w:val="24"/>
          <w:szCs w:val="24"/>
        </w:rPr>
        <w:t>cel mai mic preț la care OST a efectuat tranzacții de vânzare în ziua gazieră respectivă (</w:t>
      </w:r>
      <w:r w:rsidRPr="000D729C">
        <w:rPr>
          <w:rFonts w:ascii="Times New Roman" w:eastAsia="Times New Roman" w:hAnsi="Times New Roman" w:cs="Times New Roman"/>
          <w:b/>
          <w:sz w:val="24"/>
          <w:szCs w:val="24"/>
        </w:rPr>
        <w:t>C</w:t>
      </w:r>
      <w:r w:rsidRPr="000D729C">
        <w:rPr>
          <w:rFonts w:ascii="Times New Roman" w:eastAsia="Times New Roman" w:hAnsi="Times New Roman" w:cs="Times New Roman"/>
          <w:b/>
          <w:sz w:val="24"/>
          <w:szCs w:val="24"/>
          <w:vertAlign w:val="subscript"/>
        </w:rPr>
        <w:t>MMPV</w:t>
      </w:r>
      <w:r w:rsidRPr="000D729C">
        <w:rPr>
          <w:rFonts w:ascii="Times New Roman" w:eastAsia="Times New Roman" w:hAnsi="Times New Roman" w:cs="Times New Roman"/>
          <w:sz w:val="24"/>
          <w:szCs w:val="24"/>
        </w:rPr>
        <w:t>);</w:t>
      </w:r>
    </w:p>
    <w:p w14:paraId="249C484D" w14:textId="7E0E6B83" w:rsidR="000E179C" w:rsidRPr="000D729C" w:rsidRDefault="000E179C" w:rsidP="004A17FD">
      <w:pPr>
        <w:pStyle w:val="1"/>
        <w:numPr>
          <w:ilvl w:val="0"/>
          <w:numId w:val="19"/>
        </w:numPr>
        <w:shd w:val="clear" w:color="auto" w:fill="auto"/>
        <w:tabs>
          <w:tab w:val="left" w:pos="715"/>
          <w:tab w:val="left" w:pos="993"/>
        </w:tabs>
        <w:spacing w:before="0" w:line="276" w:lineRule="auto"/>
        <w:ind w:left="0" w:right="20" w:firstLine="567"/>
        <w:jc w:val="both"/>
        <w:rPr>
          <w:rFonts w:ascii="Times New Roman" w:eastAsia="Times New Roman" w:hAnsi="Times New Roman" w:cs="Times New Roman"/>
          <w:sz w:val="24"/>
          <w:szCs w:val="24"/>
        </w:rPr>
      </w:pPr>
      <w:r w:rsidRPr="000D729C">
        <w:rPr>
          <w:rFonts w:ascii="Times New Roman" w:eastAsia="Times New Roman" w:hAnsi="Times New Roman" w:cs="Times New Roman"/>
          <w:sz w:val="24"/>
          <w:szCs w:val="24"/>
        </w:rPr>
        <w:t>prețul mediu ponderat al tranzacțiilor de vânzare efectuate de către OST în ziua gazieră respectivă (</w:t>
      </w:r>
      <w:r w:rsidRPr="000D729C">
        <w:rPr>
          <w:rFonts w:ascii="Times New Roman" w:eastAsia="Times New Roman" w:hAnsi="Times New Roman" w:cs="Times New Roman"/>
          <w:b/>
          <w:sz w:val="24"/>
          <w:szCs w:val="24"/>
        </w:rPr>
        <w:t>P</w:t>
      </w:r>
      <w:r w:rsidRPr="000D729C">
        <w:rPr>
          <w:rFonts w:ascii="Times New Roman" w:eastAsia="Times New Roman" w:hAnsi="Times New Roman" w:cs="Times New Roman"/>
          <w:b/>
          <w:sz w:val="24"/>
          <w:szCs w:val="24"/>
          <w:vertAlign w:val="subscript"/>
        </w:rPr>
        <w:t>MPV</w:t>
      </w:r>
      <w:r w:rsidRPr="000D729C">
        <w:rPr>
          <w:rFonts w:ascii="Times New Roman" w:eastAsia="Times New Roman" w:hAnsi="Times New Roman" w:cs="Times New Roman"/>
          <w:sz w:val="24"/>
          <w:szCs w:val="24"/>
        </w:rPr>
        <w:t>), înmulțit cu coeficientul 0,9;</w:t>
      </w:r>
    </w:p>
    <w:p w14:paraId="1A8E678D" w14:textId="0A3F6C57" w:rsidR="000E179C" w:rsidRPr="000D729C" w:rsidRDefault="000E179C" w:rsidP="004A17FD">
      <w:pPr>
        <w:pStyle w:val="ListParagraph"/>
        <w:numPr>
          <w:ilvl w:val="0"/>
          <w:numId w:val="19"/>
        </w:numPr>
        <w:tabs>
          <w:tab w:val="left" w:pos="993"/>
        </w:tabs>
        <w:spacing w:line="276" w:lineRule="auto"/>
        <w:ind w:left="0" w:firstLine="567"/>
        <w:jc w:val="both"/>
        <w:rPr>
          <w:rFonts w:ascii="Times New Roman" w:hAnsi="Times New Roman" w:cs="Times New Roman"/>
          <w:position w:val="2"/>
          <w:sz w:val="24"/>
          <w:szCs w:val="24"/>
        </w:rPr>
      </w:pPr>
      <w:r w:rsidRPr="000D729C">
        <w:rPr>
          <w:rFonts w:ascii="Times New Roman" w:hAnsi="Times New Roman" w:cs="Times New Roman"/>
          <w:position w:val="2"/>
          <w:sz w:val="24"/>
          <w:szCs w:val="24"/>
        </w:rPr>
        <w:t>prețul referință (</w:t>
      </w:r>
      <w:r w:rsidRPr="000D729C">
        <w:rPr>
          <w:rFonts w:ascii="Times New Roman" w:hAnsi="Times New Roman" w:cs="Times New Roman"/>
          <w:b/>
          <w:position w:val="2"/>
          <w:sz w:val="24"/>
          <w:szCs w:val="24"/>
        </w:rPr>
        <w:t>P</w:t>
      </w:r>
      <w:r w:rsidRPr="000D729C">
        <w:rPr>
          <w:rFonts w:ascii="Times New Roman" w:hAnsi="Times New Roman" w:cs="Times New Roman"/>
          <w:b/>
          <w:position w:val="2"/>
          <w:sz w:val="24"/>
          <w:szCs w:val="24"/>
          <w:vertAlign w:val="subscript"/>
        </w:rPr>
        <w:t>R</w:t>
      </w:r>
      <w:r w:rsidRPr="000D729C">
        <w:rPr>
          <w:rFonts w:ascii="Times New Roman" w:hAnsi="Times New Roman" w:cs="Times New Roman"/>
          <w:position w:val="2"/>
          <w:sz w:val="24"/>
          <w:szCs w:val="24"/>
        </w:rPr>
        <w:t xml:space="preserve">), în ziua gazieră, </w:t>
      </w:r>
      <w:r w:rsidRPr="000D729C">
        <w:rPr>
          <w:rFonts w:ascii="Times New Roman" w:hAnsi="Times New Roman" w:cs="Times New Roman"/>
          <w:bCs/>
          <w:sz w:val="24"/>
          <w:szCs w:val="24"/>
        </w:rPr>
        <w:t>înmulțit cu coeficientul 0,9</w:t>
      </w:r>
      <w:r w:rsidRPr="000D729C">
        <w:rPr>
          <w:rFonts w:ascii="Times New Roman" w:hAnsi="Times New Roman" w:cs="Times New Roman"/>
          <w:position w:val="2"/>
          <w:sz w:val="24"/>
          <w:szCs w:val="24"/>
        </w:rPr>
        <w:t xml:space="preserve">; </w:t>
      </w:r>
    </w:p>
    <w:p w14:paraId="5008B01B" w14:textId="77777777" w:rsidR="000E179C" w:rsidRPr="000D729C" w:rsidRDefault="000E179C" w:rsidP="00251A69">
      <w:pPr>
        <w:pStyle w:val="1"/>
        <w:shd w:val="clear" w:color="auto" w:fill="auto"/>
        <w:tabs>
          <w:tab w:val="left" w:pos="0"/>
          <w:tab w:val="left" w:pos="567"/>
        </w:tabs>
        <w:spacing w:before="120" w:after="120" w:line="276" w:lineRule="auto"/>
        <w:ind w:right="23" w:firstLine="567"/>
        <w:jc w:val="center"/>
        <w:rPr>
          <w:rFonts w:ascii="Times New Roman" w:hAnsi="Times New Roman" w:cs="Times New Roman"/>
          <w:b/>
          <w:bCs/>
          <w:sz w:val="24"/>
          <w:szCs w:val="24"/>
        </w:rPr>
      </w:pPr>
      <w:r w:rsidRPr="000D729C">
        <w:rPr>
          <w:rFonts w:ascii="Times New Roman" w:hAnsi="Times New Roman" w:cs="Times New Roman"/>
          <w:b/>
          <w:bCs/>
          <w:sz w:val="24"/>
          <w:szCs w:val="24"/>
        </w:rPr>
        <w:t>P</w:t>
      </w:r>
      <w:r w:rsidRPr="000D729C">
        <w:rPr>
          <w:rFonts w:ascii="Times New Roman" w:hAnsi="Times New Roman" w:cs="Times New Roman"/>
          <w:b/>
          <w:bCs/>
          <w:sz w:val="24"/>
          <w:szCs w:val="24"/>
          <w:vertAlign w:val="subscript"/>
        </w:rPr>
        <w:t>MV</w:t>
      </w:r>
      <w:r w:rsidRPr="000D729C">
        <w:rPr>
          <w:rFonts w:ascii="Times New Roman" w:hAnsi="Times New Roman" w:cs="Times New Roman"/>
          <w:b/>
          <w:bCs/>
          <w:sz w:val="24"/>
          <w:szCs w:val="24"/>
        </w:rPr>
        <w:t>=Min (C</w:t>
      </w:r>
      <w:r w:rsidRPr="000D729C">
        <w:rPr>
          <w:rFonts w:ascii="Times New Roman" w:hAnsi="Times New Roman" w:cs="Times New Roman"/>
          <w:b/>
          <w:bCs/>
          <w:sz w:val="24"/>
          <w:szCs w:val="24"/>
          <w:vertAlign w:val="subscript"/>
        </w:rPr>
        <w:t>MMPV</w:t>
      </w:r>
      <w:r w:rsidRPr="000D729C">
        <w:rPr>
          <w:rFonts w:ascii="Times New Roman" w:hAnsi="Times New Roman" w:cs="Times New Roman"/>
          <w:b/>
          <w:bCs/>
          <w:sz w:val="24"/>
          <w:szCs w:val="24"/>
        </w:rPr>
        <w:t>, (P</w:t>
      </w:r>
      <w:r w:rsidRPr="000D729C">
        <w:rPr>
          <w:rFonts w:ascii="Times New Roman" w:hAnsi="Times New Roman" w:cs="Times New Roman"/>
          <w:b/>
          <w:bCs/>
          <w:sz w:val="24"/>
          <w:szCs w:val="24"/>
          <w:vertAlign w:val="subscript"/>
        </w:rPr>
        <w:t>MPV</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0,9), (P</w:t>
      </w:r>
      <w:r w:rsidRPr="000D729C">
        <w:rPr>
          <w:rFonts w:ascii="Times New Roman" w:hAnsi="Times New Roman" w:cs="Times New Roman"/>
          <w:b/>
          <w:bCs/>
          <w:sz w:val="24"/>
          <w:szCs w:val="24"/>
          <w:vertAlign w:val="subscript"/>
        </w:rPr>
        <w:t>R</w:t>
      </w:r>
      <w:r w:rsidRPr="000D729C">
        <w:rPr>
          <w:rFonts w:ascii="Times New Roman" w:hAnsi="Times New Roman" w:cs="Times New Roman"/>
          <w:bCs/>
          <w:sz w:val="20"/>
          <w:szCs w:val="20"/>
        </w:rPr>
        <w:t xml:space="preserve"> x</w:t>
      </w:r>
      <w:r w:rsidRPr="000D729C">
        <w:rPr>
          <w:rFonts w:ascii="Times New Roman" w:hAnsi="Times New Roman" w:cs="Times New Roman"/>
          <w:b/>
          <w:bCs/>
          <w:sz w:val="24"/>
          <w:szCs w:val="24"/>
        </w:rPr>
        <w:t xml:space="preserve"> 0,9))</w:t>
      </w:r>
    </w:p>
    <w:bookmarkEnd w:id="14"/>
    <w:p w14:paraId="1809A5ED" w14:textId="77777777" w:rsidR="000E179C" w:rsidRPr="000D729C" w:rsidRDefault="000E179C" w:rsidP="00B1546B">
      <w:pPr>
        <w:pStyle w:val="1"/>
        <w:shd w:val="clear" w:color="auto" w:fill="auto"/>
        <w:tabs>
          <w:tab w:val="left" w:pos="0"/>
          <w:tab w:val="left" w:pos="567"/>
        </w:tabs>
        <w:spacing w:before="0" w:line="276" w:lineRule="auto"/>
        <w:ind w:right="20" w:firstLine="567"/>
        <w:jc w:val="both"/>
        <w:rPr>
          <w:rFonts w:ascii="Times New Roman" w:eastAsia="Times New Roman" w:hAnsi="Times New Roman" w:cs="Times New Roman"/>
          <w:sz w:val="24"/>
          <w:szCs w:val="24"/>
        </w:rPr>
      </w:pPr>
      <w:r w:rsidRPr="000D729C">
        <w:rPr>
          <w:rFonts w:ascii="Times New Roman" w:eastAsia="Times New Roman" w:hAnsi="Times New Roman" w:cs="Times New Roman"/>
          <w:sz w:val="24"/>
          <w:szCs w:val="24"/>
        </w:rPr>
        <w:t>În a 17-a zi din luna M+1 pentru luna M, OST calculează, pentru fiecare PRE, cantitățile de dezechilibru zilnic cumulate pentru toate zilele gaziere din luna precedentă M, publică pe pagina sa web tipul dezechilibrelor finale după tranzacționare pe platforma de echilibrare și prețul de referință,</w:t>
      </w:r>
      <w:r w:rsidRPr="000D729C">
        <w:rPr>
          <w:rFonts w:ascii="Times New Roman" w:hAnsi="Times New Roman" w:cs="Times New Roman"/>
        </w:rPr>
        <w:t xml:space="preserve"> </w:t>
      </w:r>
      <w:r w:rsidRPr="000D729C">
        <w:rPr>
          <w:rFonts w:ascii="Times New Roman" w:eastAsia="Times New Roman" w:hAnsi="Times New Roman" w:cs="Times New Roman"/>
          <w:sz w:val="24"/>
          <w:szCs w:val="24"/>
        </w:rPr>
        <w:t>prețul marginal de vânzare și prețul marginal de cumpărare a dezechilibrelor zilnice.</w:t>
      </w:r>
    </w:p>
    <w:p w14:paraId="452F44AD" w14:textId="6B5F422C" w:rsidR="000E179C" w:rsidRPr="000D729C" w:rsidRDefault="000E179C" w:rsidP="00B1546B">
      <w:pPr>
        <w:pStyle w:val="1"/>
        <w:shd w:val="clear" w:color="auto" w:fill="auto"/>
        <w:tabs>
          <w:tab w:val="left" w:pos="0"/>
          <w:tab w:val="left" w:pos="567"/>
        </w:tabs>
        <w:spacing w:before="0" w:line="276" w:lineRule="auto"/>
        <w:ind w:right="20" w:firstLine="567"/>
        <w:jc w:val="both"/>
        <w:rPr>
          <w:rFonts w:ascii="Times New Roman" w:eastAsia="Times New Roman" w:hAnsi="Times New Roman" w:cs="Times New Roman"/>
          <w:sz w:val="24"/>
          <w:szCs w:val="24"/>
        </w:rPr>
      </w:pPr>
      <w:r w:rsidRPr="000D729C">
        <w:rPr>
          <w:rFonts w:ascii="Times New Roman" w:eastAsia="Times New Roman" w:hAnsi="Times New Roman" w:cs="Times New Roman"/>
          <w:sz w:val="24"/>
          <w:szCs w:val="24"/>
        </w:rPr>
        <w:t>OST va transmite către PRE un Proces</w:t>
      </w:r>
      <w:r w:rsidR="005B5989" w:rsidRPr="000D729C">
        <w:rPr>
          <w:rFonts w:ascii="Times New Roman" w:eastAsia="Times New Roman" w:hAnsi="Times New Roman" w:cs="Times New Roman"/>
          <w:sz w:val="24"/>
          <w:szCs w:val="24"/>
        </w:rPr>
        <w:t>-</w:t>
      </w:r>
      <w:r w:rsidRPr="000D729C">
        <w:rPr>
          <w:rFonts w:ascii="Times New Roman" w:eastAsia="Times New Roman" w:hAnsi="Times New Roman" w:cs="Times New Roman"/>
          <w:sz w:val="24"/>
          <w:szCs w:val="24"/>
        </w:rPr>
        <w:t>verbal de constatare lunară a dezechilibrelor înregistrate de tipul DEFICIT/EXCEDENT, în baza căruia se vor întocmi facturile.</w:t>
      </w:r>
    </w:p>
    <w:p w14:paraId="0DFFD771" w14:textId="77777777" w:rsidR="000D6B5D" w:rsidRPr="000D729C" w:rsidRDefault="000D6B5D" w:rsidP="00B1546B">
      <w:pPr>
        <w:pStyle w:val="1"/>
        <w:shd w:val="clear" w:color="auto" w:fill="auto"/>
        <w:tabs>
          <w:tab w:val="left" w:pos="0"/>
          <w:tab w:val="left" w:pos="567"/>
        </w:tabs>
        <w:spacing w:before="0" w:line="276" w:lineRule="auto"/>
        <w:ind w:right="20" w:firstLine="567"/>
        <w:jc w:val="both"/>
        <w:rPr>
          <w:rFonts w:ascii="Times New Roman" w:eastAsia="Times New Roman" w:hAnsi="Times New Roman" w:cs="Times New Roman"/>
          <w:sz w:val="24"/>
          <w:szCs w:val="24"/>
        </w:rPr>
      </w:pPr>
    </w:p>
    <w:p w14:paraId="224F83F1" w14:textId="2AC21592" w:rsidR="000D6B5D" w:rsidRPr="000D729C" w:rsidRDefault="000D6B5D" w:rsidP="00B1546B">
      <w:pPr>
        <w:pStyle w:val="1"/>
        <w:shd w:val="clear" w:color="auto" w:fill="auto"/>
        <w:tabs>
          <w:tab w:val="left" w:pos="0"/>
          <w:tab w:val="left" w:pos="567"/>
        </w:tabs>
        <w:spacing w:before="0" w:line="276" w:lineRule="auto"/>
        <w:ind w:right="20" w:firstLine="567"/>
        <w:jc w:val="both"/>
        <w:rPr>
          <w:rFonts w:ascii="Times New Roman" w:eastAsia="Times New Roman" w:hAnsi="Times New Roman" w:cs="Times New Roman"/>
          <w:b/>
          <w:bCs/>
          <w:sz w:val="24"/>
          <w:szCs w:val="24"/>
        </w:rPr>
      </w:pPr>
      <w:r w:rsidRPr="000D729C">
        <w:rPr>
          <w:rFonts w:ascii="Times New Roman" w:eastAsia="Times New Roman" w:hAnsi="Times New Roman" w:cs="Times New Roman"/>
          <w:b/>
          <w:bCs/>
          <w:sz w:val="24"/>
          <w:szCs w:val="24"/>
        </w:rPr>
        <w:t>4.5. Plățile pentru neutralitate</w:t>
      </w:r>
    </w:p>
    <w:p w14:paraId="0F57B695" w14:textId="023176CB" w:rsidR="00ED189F" w:rsidRPr="000D729C" w:rsidRDefault="00ED189F" w:rsidP="006C69C4">
      <w:pPr>
        <w:pStyle w:val="1"/>
        <w:shd w:val="clear" w:color="auto" w:fill="auto"/>
        <w:tabs>
          <w:tab w:val="left" w:pos="0"/>
          <w:tab w:val="left" w:pos="567"/>
        </w:tabs>
        <w:spacing w:before="0" w:line="276" w:lineRule="auto"/>
        <w:ind w:right="20" w:firstLine="56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 xml:space="preserve">Determinarea plăților pentru neutralitate se realizează de către OST în conformitate cu prevederile Hotărârii ANRE nr. 565 </w:t>
      </w:r>
      <w:r w:rsidR="00691FDA" w:rsidRPr="000D729C">
        <w:rPr>
          <w:rFonts w:ascii="Times New Roman" w:eastAsia="Times New Roman" w:hAnsi="Times New Roman" w:cs="Times New Roman"/>
          <w:kern w:val="0"/>
          <w:sz w:val="24"/>
          <w:szCs w:val="24"/>
          <w14:ligatures w14:val="none"/>
        </w:rPr>
        <w:t>/</w:t>
      </w:r>
      <w:r w:rsidRPr="000D729C">
        <w:rPr>
          <w:rFonts w:ascii="Times New Roman" w:eastAsia="Times New Roman" w:hAnsi="Times New Roman" w:cs="Times New Roman"/>
          <w:kern w:val="0"/>
          <w:sz w:val="24"/>
          <w:szCs w:val="24"/>
          <w14:ligatures w14:val="none"/>
        </w:rPr>
        <w:t xml:space="preserve"> 2024 cu privire la aprobarea Metodologiei de calcul a plăților pentru neutralitate. Metodologia de calculare a plăților pentru neutralitate prevede modul de calculare de către OST a plăților pentru neutralitate, inclusiv repartizarea lor în rândul PRE în scopul asigurării neutralității costurilor acțiunilor de echilibrare întreprinse de către OST. </w:t>
      </w:r>
    </w:p>
    <w:p w14:paraId="36C62942" w14:textId="65357C62" w:rsidR="00ED189F" w:rsidRPr="000D729C" w:rsidRDefault="00ED189F" w:rsidP="006C69C4">
      <w:pPr>
        <w:pStyle w:val="1"/>
        <w:shd w:val="clear" w:color="auto" w:fill="auto"/>
        <w:tabs>
          <w:tab w:val="left" w:pos="0"/>
          <w:tab w:val="left" w:pos="567"/>
        </w:tabs>
        <w:spacing w:before="0" w:line="276" w:lineRule="auto"/>
        <w:ind w:right="20" w:firstLine="56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Costurile şi veniturile aferente activității de echilibrare realizate sunt înregistrate lunar în contul de neutralitate.</w:t>
      </w:r>
      <w:bookmarkStart w:id="15" w:name="_Hlk177911071"/>
      <w:r w:rsidR="006C69C4" w:rsidRPr="000D729C">
        <w:rPr>
          <w:rFonts w:ascii="Times New Roman" w:eastAsia="Times New Roman" w:hAnsi="Times New Roman" w:cs="Times New Roman"/>
          <w:kern w:val="0"/>
          <w:sz w:val="24"/>
          <w:szCs w:val="24"/>
          <w14:ligatures w14:val="none"/>
        </w:rPr>
        <w:t xml:space="preserve"> </w:t>
      </w:r>
      <w:r w:rsidRPr="000D729C">
        <w:rPr>
          <w:rFonts w:ascii="Times New Roman" w:hAnsi="Times New Roman" w:cs="Times New Roman"/>
          <w:sz w:val="24"/>
          <w:szCs w:val="24"/>
          <w:lang w:val="ro-MD"/>
        </w:rPr>
        <w:t>În contul de neutralitate se</w:t>
      </w:r>
      <w:bookmarkEnd w:id="15"/>
      <w:r w:rsidRPr="000D729C">
        <w:rPr>
          <w:rFonts w:ascii="Times New Roman" w:hAnsi="Times New Roman" w:cs="Times New Roman"/>
          <w:sz w:val="24"/>
          <w:szCs w:val="24"/>
          <w:lang w:val="ro-MD"/>
        </w:rPr>
        <w:t xml:space="preserve"> includ următoarele categorii de costuri:</w:t>
      </w:r>
    </w:p>
    <w:p w14:paraId="1C684A2F" w14:textId="0D354894" w:rsidR="00ED189F" w:rsidRPr="000D729C" w:rsidRDefault="00ED189F" w:rsidP="00ED189F">
      <w:pPr>
        <w:pStyle w:val="ListParagraph"/>
        <w:numPr>
          <w:ilvl w:val="0"/>
          <w:numId w:val="4"/>
        </w:numPr>
        <w:tabs>
          <w:tab w:val="left" w:pos="284"/>
          <w:tab w:val="left" w:pos="426"/>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costuri rezultate din efectuarea acțiunilor de echilibrare de către OST în vederea asigurării echilibrării fizice a sistemului de transport al gazelor naturale</w:t>
      </w:r>
      <w:r w:rsidR="006C69C4" w:rsidRPr="000D729C">
        <w:rPr>
          <w:rFonts w:ascii="Times New Roman" w:hAnsi="Times New Roman" w:cs="Times New Roman"/>
          <w:sz w:val="24"/>
          <w:szCs w:val="24"/>
          <w:lang w:val="ro-MD"/>
        </w:rPr>
        <w:t xml:space="preserve"> (achiziționarea gazelor naturale de pe platforme de tranzacționare, accesarea platformelor de tranzacționare, cheltuieli pentru serviciile de organizare și administrare piață de echilibrare etc.).</w:t>
      </w:r>
    </w:p>
    <w:p w14:paraId="22B6B15C" w14:textId="77777777" w:rsidR="00ED189F" w:rsidRPr="000D729C" w:rsidRDefault="00ED189F" w:rsidP="00ED189F">
      <w:pPr>
        <w:pStyle w:val="ListParagraph"/>
        <w:numPr>
          <w:ilvl w:val="0"/>
          <w:numId w:val="4"/>
        </w:numPr>
        <w:tabs>
          <w:tab w:val="left" w:pos="284"/>
          <w:tab w:val="left" w:pos="426"/>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cheltuieli rezultate din contractarea serviciilor de echilibrare;</w:t>
      </w:r>
    </w:p>
    <w:p w14:paraId="4DDB274E" w14:textId="77777777" w:rsidR="00ED189F" w:rsidRPr="000D729C" w:rsidRDefault="00ED189F" w:rsidP="00ED189F">
      <w:pPr>
        <w:pStyle w:val="ListParagraph"/>
        <w:numPr>
          <w:ilvl w:val="0"/>
          <w:numId w:val="4"/>
        </w:numPr>
        <w:tabs>
          <w:tab w:val="left" w:pos="284"/>
          <w:tab w:val="left" w:pos="426"/>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plăți realizate de OST către PRE corespunzătoare dezechilibrelor pozitive ale acestora;</w:t>
      </w:r>
    </w:p>
    <w:p w14:paraId="283C9768" w14:textId="43FCA1E2" w:rsidR="00ED189F" w:rsidRPr="000D729C" w:rsidRDefault="00ED189F" w:rsidP="00ED189F">
      <w:pPr>
        <w:pStyle w:val="ListParagraph"/>
        <w:numPr>
          <w:ilvl w:val="0"/>
          <w:numId w:val="4"/>
        </w:numPr>
        <w:tabs>
          <w:tab w:val="left" w:pos="284"/>
          <w:tab w:val="left" w:pos="426"/>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costuri care provin din contractarea unei linii de credit în vederea finanţării activităţii de echilibrare fizică şi comercială.</w:t>
      </w:r>
    </w:p>
    <w:p w14:paraId="40C2CAA4" w14:textId="77777777" w:rsidR="00ED189F" w:rsidRPr="000D729C" w:rsidRDefault="00ED189F" w:rsidP="00ED189F">
      <w:pPr>
        <w:tabs>
          <w:tab w:val="left" w:pos="284"/>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În contul de neutralitate se includ următoarele categorii de venituri:</w:t>
      </w:r>
    </w:p>
    <w:p w14:paraId="39E149B6" w14:textId="77777777" w:rsidR="006C69C4" w:rsidRPr="000D729C" w:rsidRDefault="00ED189F" w:rsidP="004A17FD">
      <w:pPr>
        <w:pStyle w:val="ListParagraph"/>
        <w:numPr>
          <w:ilvl w:val="0"/>
          <w:numId w:val="21"/>
        </w:numPr>
        <w:tabs>
          <w:tab w:val="left" w:pos="284"/>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venituri rezultate din efectuarea acțiunilor de echilibrare de către OST în vederea asigurării echilibrării fizice a sistemului de transport al gazelor naturale</w:t>
      </w:r>
      <w:r w:rsidR="006C69C4" w:rsidRPr="000D729C">
        <w:rPr>
          <w:rFonts w:ascii="Times New Roman" w:hAnsi="Times New Roman" w:cs="Times New Roman"/>
          <w:sz w:val="24"/>
          <w:szCs w:val="24"/>
          <w:lang w:val="ro-MD"/>
        </w:rPr>
        <w:t xml:space="preserve"> (</w:t>
      </w:r>
      <w:r w:rsidRPr="000D729C">
        <w:rPr>
          <w:rFonts w:ascii="Times New Roman" w:hAnsi="Times New Roman" w:cs="Times New Roman"/>
          <w:sz w:val="24"/>
          <w:szCs w:val="24"/>
          <w:lang w:val="ro-MD"/>
        </w:rPr>
        <w:t>din vânzarea gazelor naturale pe platformele de tranzacționare</w:t>
      </w:r>
      <w:r w:rsidR="006C69C4" w:rsidRPr="000D729C">
        <w:rPr>
          <w:rFonts w:ascii="Times New Roman" w:hAnsi="Times New Roman" w:cs="Times New Roman"/>
          <w:sz w:val="24"/>
          <w:szCs w:val="24"/>
          <w:lang w:val="ro-MD"/>
        </w:rPr>
        <w:t xml:space="preserve">, </w:t>
      </w:r>
      <w:r w:rsidRPr="000D729C">
        <w:rPr>
          <w:rFonts w:ascii="Times New Roman" w:hAnsi="Times New Roman" w:cs="Times New Roman"/>
          <w:sz w:val="24"/>
          <w:szCs w:val="24"/>
          <w:lang w:val="ro-MD"/>
        </w:rPr>
        <w:t>rezultate din contractarea serviciilor de echilibrare</w:t>
      </w:r>
      <w:r w:rsidR="006C69C4" w:rsidRPr="000D729C">
        <w:rPr>
          <w:rFonts w:ascii="Times New Roman" w:hAnsi="Times New Roman" w:cs="Times New Roman"/>
          <w:sz w:val="24"/>
          <w:szCs w:val="24"/>
          <w:lang w:val="ro-MD"/>
        </w:rPr>
        <w:t>).</w:t>
      </w:r>
    </w:p>
    <w:p w14:paraId="0AC9788F" w14:textId="2BD8DE9F" w:rsidR="00ED189F" w:rsidRPr="000D729C" w:rsidRDefault="00ED189F" w:rsidP="004A17FD">
      <w:pPr>
        <w:pStyle w:val="ListParagraph"/>
        <w:numPr>
          <w:ilvl w:val="0"/>
          <w:numId w:val="21"/>
        </w:numPr>
        <w:tabs>
          <w:tab w:val="left" w:pos="284"/>
        </w:tabs>
        <w:jc w:val="both"/>
        <w:rPr>
          <w:rFonts w:ascii="Times New Roman" w:hAnsi="Times New Roman" w:cs="Times New Roman"/>
          <w:sz w:val="24"/>
          <w:szCs w:val="24"/>
          <w:lang w:val="ro-MD"/>
        </w:rPr>
      </w:pPr>
      <w:r w:rsidRPr="000D729C">
        <w:rPr>
          <w:rFonts w:ascii="Times New Roman" w:hAnsi="Times New Roman" w:cs="Times New Roman"/>
          <w:sz w:val="24"/>
          <w:szCs w:val="24"/>
          <w:lang w:val="ro-MD"/>
        </w:rPr>
        <w:t>venituri din plățile achitate de PRE către OST pentru dezechilibrele negative ale acestora.</w:t>
      </w:r>
    </w:p>
    <w:p w14:paraId="6ACA71FF" w14:textId="77777777" w:rsidR="006C69C4" w:rsidRPr="000D729C" w:rsidRDefault="006C69C4" w:rsidP="006C69C4">
      <w:pPr>
        <w:pStyle w:val="1"/>
        <w:shd w:val="clear" w:color="auto" w:fill="auto"/>
        <w:tabs>
          <w:tab w:val="left" w:pos="0"/>
          <w:tab w:val="left" w:pos="567"/>
        </w:tabs>
        <w:spacing w:before="0" w:line="276" w:lineRule="auto"/>
        <w:ind w:right="20" w:firstLine="0"/>
        <w:jc w:val="both"/>
        <w:rPr>
          <w:rFonts w:ascii="Times New Roman" w:eastAsia="Times New Roman" w:hAnsi="Times New Roman" w:cs="Times New Roman"/>
          <w:sz w:val="24"/>
          <w:szCs w:val="24"/>
        </w:rPr>
      </w:pPr>
    </w:p>
    <w:p w14:paraId="223D5A72" w14:textId="4DB8DBDF" w:rsidR="000D6B5D" w:rsidRPr="000D729C" w:rsidRDefault="006C69C4" w:rsidP="000D6B5D">
      <w:pPr>
        <w:pStyle w:val="1"/>
        <w:shd w:val="clear" w:color="auto" w:fill="auto"/>
        <w:tabs>
          <w:tab w:val="left" w:pos="0"/>
          <w:tab w:val="left" w:pos="567"/>
        </w:tabs>
        <w:spacing w:before="0" w:line="276" w:lineRule="auto"/>
        <w:ind w:right="20" w:firstLine="0"/>
        <w:jc w:val="both"/>
        <w:rPr>
          <w:rFonts w:ascii="Times New Roman" w:eastAsia="Times New Roman" w:hAnsi="Times New Roman" w:cs="Times New Roman"/>
          <w:b/>
          <w:bCs/>
          <w:sz w:val="24"/>
          <w:szCs w:val="24"/>
        </w:rPr>
      </w:pPr>
      <w:r w:rsidRPr="000D729C">
        <w:rPr>
          <w:rFonts w:ascii="Times New Roman" w:eastAsia="Times New Roman" w:hAnsi="Times New Roman" w:cs="Times New Roman"/>
          <w:sz w:val="24"/>
          <w:szCs w:val="24"/>
          <w:lang w:val="ro-MD"/>
        </w:rPr>
        <w:t>OST nu înregistrează câștiguri sau pierderi ca urmare a perceperii sau achitării plăților de dezechilibru zilnic, a plăților intra-zilnice, a plăților aferente acțiunilor de echilibrare sau a altor costuri legate de aceste activități. Toate sumele aferente sunt colectate și redistribuite exclusiv prin plata pentru neutralitate, contribuind la menținerea unui mecanism transparent, echitabil și pe deplin aliniat obligațiilor legale.</w:t>
      </w:r>
    </w:p>
    <w:p w14:paraId="416A6795" w14:textId="77777777" w:rsidR="000E179C" w:rsidRPr="000D729C" w:rsidRDefault="000E179C" w:rsidP="000E179C">
      <w:pPr>
        <w:pStyle w:val="Heading1"/>
        <w:tabs>
          <w:tab w:val="left" w:pos="709"/>
        </w:tabs>
        <w:spacing w:before="1" w:line="276" w:lineRule="auto"/>
        <w:ind w:left="0" w:firstLine="567"/>
        <w:jc w:val="both"/>
        <w:rPr>
          <w:rFonts w:ascii="Times New Roman" w:eastAsia="Arial Narrow" w:hAnsi="Times New Roman" w:cs="Times New Roman"/>
          <w:b w:val="0"/>
          <w:bCs w:val="0"/>
          <w:sz w:val="24"/>
          <w:szCs w:val="24"/>
        </w:rPr>
      </w:pPr>
    </w:p>
    <w:p w14:paraId="2A148497" w14:textId="77777777" w:rsidR="000E179C" w:rsidRPr="000D729C" w:rsidRDefault="000E179C" w:rsidP="00251A69">
      <w:pPr>
        <w:pStyle w:val="Heading1"/>
        <w:tabs>
          <w:tab w:val="left" w:pos="709"/>
        </w:tabs>
        <w:spacing w:before="1" w:after="240" w:line="276" w:lineRule="auto"/>
        <w:ind w:left="0"/>
        <w:jc w:val="center"/>
        <w:rPr>
          <w:rFonts w:ascii="Times New Roman" w:hAnsi="Times New Roman" w:cs="Times New Roman"/>
          <w:sz w:val="24"/>
          <w:szCs w:val="24"/>
        </w:rPr>
      </w:pPr>
      <w:r w:rsidRPr="000D729C">
        <w:rPr>
          <w:rFonts w:ascii="Times New Roman" w:hAnsi="Times New Roman" w:cs="Times New Roman"/>
          <w:sz w:val="24"/>
          <w:szCs w:val="24"/>
        </w:rPr>
        <w:t>V. MOTIVELE APLICĂRII MĂSURILOR PROVIZORII</w:t>
      </w:r>
    </w:p>
    <w:p w14:paraId="702F56F1" w14:textId="77777777" w:rsidR="000E179C" w:rsidRPr="000D729C" w:rsidRDefault="000E179C" w:rsidP="004A17FD">
      <w:pPr>
        <w:pStyle w:val="Heading2"/>
        <w:numPr>
          <w:ilvl w:val="1"/>
          <w:numId w:val="8"/>
        </w:numPr>
        <w:tabs>
          <w:tab w:val="left" w:pos="426"/>
          <w:tab w:val="left" w:pos="709"/>
          <w:tab w:val="left" w:pos="1134"/>
        </w:tabs>
        <w:spacing w:before="44" w:line="276" w:lineRule="auto"/>
        <w:ind w:left="567" w:hanging="425"/>
        <w:rPr>
          <w:rFonts w:ascii="Times New Roman" w:hAnsi="Times New Roman" w:cs="Times New Roman"/>
          <w:sz w:val="24"/>
          <w:szCs w:val="24"/>
        </w:rPr>
      </w:pPr>
      <w:r w:rsidRPr="000D729C">
        <w:rPr>
          <w:rFonts w:ascii="Times New Roman" w:hAnsi="Times New Roman" w:cs="Times New Roman"/>
          <w:sz w:val="24"/>
          <w:szCs w:val="24"/>
        </w:rPr>
        <w:t>Explicația motivelor pentru care stadiul de dezvoltare a pieței angro a gazelor naturale pe termen scurt justifică aplicabilitatea unor astfel de măsuri</w:t>
      </w:r>
    </w:p>
    <w:p w14:paraId="63273D55" w14:textId="7D851BAF" w:rsidR="000E179C" w:rsidRPr="000D729C" w:rsidRDefault="000E179C" w:rsidP="00B1546B">
      <w:pPr>
        <w:pStyle w:val="2"/>
        <w:shd w:val="clear" w:color="auto" w:fill="auto"/>
        <w:spacing w:before="0" w:line="276" w:lineRule="auto"/>
        <w:ind w:left="2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Principalele motive care susțin necesitatea a</w:t>
      </w:r>
      <w:r w:rsidR="005B5989" w:rsidRPr="000D729C">
        <w:rPr>
          <w:rFonts w:ascii="Times New Roman" w:eastAsia="Times New Roman" w:hAnsi="Times New Roman" w:cs="Times New Roman"/>
          <w:kern w:val="0"/>
          <w:sz w:val="24"/>
          <w:szCs w:val="24"/>
          <w14:ligatures w14:val="none"/>
        </w:rPr>
        <w:t>plicării a măsurilor provizorii</w:t>
      </w:r>
      <w:r w:rsidRPr="000D729C">
        <w:rPr>
          <w:rFonts w:ascii="Times New Roman" w:eastAsia="Times New Roman" w:hAnsi="Times New Roman" w:cs="Times New Roman"/>
          <w:kern w:val="0"/>
          <w:sz w:val="24"/>
          <w:szCs w:val="24"/>
          <w14:ligatures w14:val="none"/>
        </w:rPr>
        <w:t>:</w:t>
      </w:r>
    </w:p>
    <w:p w14:paraId="7368C15D"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absența unei piețe angro lichide de gaze naturale pe termen scurt, în care participanții de pe piața gazelor naturale să aibă posibilitatea efectuării unor tranzacții utilizând produse titlu standardizate pe termen scurt, atât în scop comercial, cât și în scopul echilibrării portofoliilor individuale;</w:t>
      </w:r>
    </w:p>
    <w:p w14:paraId="14CF04AC" w14:textId="7A7C6266"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disponibilitățile reduse ale platformei de tranzacționare locale de a oferi produse standardizate pe termen scurt, necesare atât OS</w:t>
      </w:r>
      <w:r w:rsidR="00E22542" w:rsidRPr="000D729C">
        <w:rPr>
          <w:rFonts w:ascii="Times New Roman" w:eastAsia="Times New Roman" w:hAnsi="Times New Roman" w:cs="Times New Roman"/>
          <w:kern w:val="0"/>
          <w:sz w:val="24"/>
          <w:szCs w:val="24"/>
          <w14:ligatures w14:val="none"/>
        </w:rPr>
        <w:t>T</w:t>
      </w:r>
      <w:r w:rsidRPr="000D729C">
        <w:rPr>
          <w:rFonts w:ascii="Times New Roman" w:eastAsia="Times New Roman" w:hAnsi="Times New Roman" w:cs="Times New Roman"/>
          <w:kern w:val="0"/>
          <w:sz w:val="24"/>
          <w:szCs w:val="24"/>
          <w14:ligatures w14:val="none"/>
        </w:rPr>
        <w:t>, cât și US pentru desfășurarea eficientă a acțiunilor de echilibrare, determină limitarea accesului la oferte și cereri cu eficiență economică. Totodată, nivelul redus de lichiditate al pieței angro de gaze naturale pe termen scurt din Republica Moldova și condițiile insuficient dezvoltate ale piețelor centralizate nu permit tranzacționarea adecvată a produselor standardizate prevăzute de Regulile pieței.</w:t>
      </w:r>
    </w:p>
    <w:p w14:paraId="64F305EF"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 xml:space="preserve">eliminarea utilizării serviciilor de echilibrare ar putea fi realizată doar în situația în care evidențele atestă funcționalitatea unei piețe ale cărei caracteristici cheie sunt compatibile cu </w:t>
      </w:r>
      <w:r w:rsidRPr="000D729C">
        <w:rPr>
          <w:rFonts w:ascii="Times New Roman" w:eastAsia="Times New Roman" w:hAnsi="Times New Roman" w:cs="Times New Roman"/>
          <w:kern w:val="0"/>
          <w:sz w:val="24"/>
          <w:szCs w:val="24"/>
          <w14:ligatures w14:val="none"/>
        </w:rPr>
        <w:lastRenderedPageBreak/>
        <w:t>necesitățile și obligațiile pe care le are OST în plan operațional, conform regulilor aplicabile;</w:t>
      </w:r>
    </w:p>
    <w:p w14:paraId="5A379EA7" w14:textId="17133462"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în prezent, serviciile de echilibrare reprezintă principalul instrument cu posibilitatea utilizării de OST 24/7 pentru a-și îndeplini obligația de echilibrare a sistemului de transport gaze naturale în condiții de siguranț</w:t>
      </w:r>
      <w:r w:rsidR="00E22542" w:rsidRPr="000D729C">
        <w:rPr>
          <w:rFonts w:ascii="Times New Roman" w:eastAsia="Times New Roman" w:hAnsi="Times New Roman" w:cs="Times New Roman"/>
          <w:kern w:val="0"/>
          <w:sz w:val="24"/>
          <w:szCs w:val="24"/>
          <w14:ligatures w14:val="none"/>
        </w:rPr>
        <w:t>ă</w:t>
      </w:r>
      <w:r w:rsidRPr="000D729C">
        <w:rPr>
          <w:rFonts w:ascii="Times New Roman" w:eastAsia="Times New Roman" w:hAnsi="Times New Roman" w:cs="Times New Roman"/>
          <w:kern w:val="0"/>
          <w:sz w:val="24"/>
          <w:szCs w:val="24"/>
          <w14:ligatures w14:val="none"/>
        </w:rPr>
        <w:t>;</w:t>
      </w:r>
    </w:p>
    <w:p w14:paraId="22CE5E09"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menținerea măsurilor provizorii propuse asigură protecția US cu privire la expunerea financiară a acestora, prin utilizarea toleranțelor în condițiile rezervărilor de capacitate pe punctele de intrare/ieșire;</w:t>
      </w:r>
    </w:p>
    <w:p w14:paraId="61FA524A"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3"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menținerea măsurilor provizorii propuse creează condițiile prin care US sunt stimulați să tranzacționeze produse titlu, atât intra-zilnice cât și pentru ziua următoare, în condițiile livrărilor și preluărilor în/din PVT;</w:t>
      </w:r>
    </w:p>
    <w:p w14:paraId="5B33C49C"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3"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înregistrarea în prezent a unor niveluri scăzute atât în volum cât și în ceea ce privește acuratețea, calitatea informațiilor și periodicitatea acestora, transmise către OST de operatorii sistemelor adiacente.</w:t>
      </w:r>
      <w:r w:rsidRPr="000D729C">
        <w:rPr>
          <w:rFonts w:ascii="Times New Roman" w:hAnsi="Times New Roman" w:cs="Times New Roman"/>
          <w:sz w:val="24"/>
          <w:szCs w:val="24"/>
        </w:rPr>
        <w:t xml:space="preserve"> </w:t>
      </w:r>
    </w:p>
    <w:p w14:paraId="6C0A8BCE"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3"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 xml:space="preserve">stimularea graduală a participanților de a tranzacționa produse titlu zilnice și </w:t>
      </w:r>
      <w:r w:rsidRPr="000D729C">
        <w:rPr>
          <w:rFonts w:ascii="Times New Roman" w:eastAsia="Times New Roman" w:hAnsi="Times New Roman" w:cs="Times New Roman"/>
          <w:kern w:val="0"/>
          <w:sz w:val="24"/>
          <w:szCs w:val="24"/>
          <w:lang w:val="ro-MD"/>
          <w14:ligatures w14:val="none"/>
        </w:rPr>
        <w:t>intrazilnice</w:t>
      </w:r>
      <w:r w:rsidRPr="000D729C">
        <w:rPr>
          <w:rFonts w:ascii="Times New Roman" w:eastAsia="Times New Roman" w:hAnsi="Times New Roman" w:cs="Times New Roman"/>
          <w:kern w:val="0"/>
          <w:sz w:val="24"/>
          <w:szCs w:val="24"/>
          <w14:ligatures w14:val="none"/>
        </w:rPr>
        <w:t xml:space="preserve"> în Punctul Virtual de Tranzacționare (PVT), în vederea formării unei piețe funcționale de echilibrare și a creșterii lichidității</w:t>
      </w:r>
    </w:p>
    <w:p w14:paraId="6BA256B1" w14:textId="77777777" w:rsidR="000E179C" w:rsidRPr="000D729C" w:rsidRDefault="000E179C" w:rsidP="004A17FD">
      <w:pPr>
        <w:pStyle w:val="2"/>
        <w:numPr>
          <w:ilvl w:val="0"/>
          <w:numId w:val="20"/>
        </w:numPr>
        <w:shd w:val="clear" w:color="auto" w:fill="auto"/>
        <w:tabs>
          <w:tab w:val="left" w:pos="709"/>
          <w:tab w:val="left" w:pos="851"/>
          <w:tab w:val="left" w:pos="993"/>
        </w:tabs>
        <w:spacing w:before="0" w:line="276" w:lineRule="auto"/>
        <w:ind w:left="0" w:right="23"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necesitatea menținerii siguranței sistemului de transport, în contextul în care volumele fizice disponibile pentru reglaj și reacția pieței la variațiile de cerere rămân limitate.</w:t>
      </w:r>
    </w:p>
    <w:p w14:paraId="4DE4C40E" w14:textId="77777777" w:rsidR="000E179C" w:rsidRPr="000D729C" w:rsidRDefault="000E179C" w:rsidP="004A17FD">
      <w:pPr>
        <w:pStyle w:val="2"/>
        <w:numPr>
          <w:ilvl w:val="0"/>
          <w:numId w:val="20"/>
        </w:numPr>
        <w:shd w:val="clear" w:color="auto" w:fill="auto"/>
        <w:tabs>
          <w:tab w:val="left" w:pos="709"/>
          <w:tab w:val="left" w:pos="851"/>
          <w:tab w:val="left" w:pos="1134"/>
        </w:tabs>
        <w:spacing w:before="0" w:line="276" w:lineRule="auto"/>
        <w:ind w:left="0" w:right="23"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dependența continuă de servicii de echilibrare furnizate de OST, care rămân singurul mecanism operațional viabil în lipsa unei piețe funcționale de echilibrare și a unor produse standardizate tranzacționabile zilnic.</w:t>
      </w:r>
    </w:p>
    <w:p w14:paraId="5C421B62" w14:textId="77777777" w:rsidR="000E179C" w:rsidRPr="000D729C" w:rsidRDefault="000E179C" w:rsidP="00B1546B">
      <w:pPr>
        <w:pStyle w:val="2"/>
        <w:shd w:val="clear" w:color="auto" w:fill="auto"/>
        <w:tabs>
          <w:tab w:val="left" w:pos="709"/>
          <w:tab w:val="left" w:pos="1134"/>
        </w:tabs>
        <w:spacing w:before="0" w:line="276" w:lineRule="auto"/>
        <w:ind w:left="360" w:right="23" w:firstLine="547"/>
        <w:jc w:val="both"/>
        <w:rPr>
          <w:rFonts w:ascii="Times New Roman" w:eastAsia="Times New Roman" w:hAnsi="Times New Roman" w:cs="Times New Roman"/>
          <w:kern w:val="0"/>
          <w:sz w:val="24"/>
          <w:szCs w:val="24"/>
          <w14:ligatures w14:val="none"/>
        </w:rPr>
      </w:pPr>
    </w:p>
    <w:p w14:paraId="6F2177AF" w14:textId="77777777" w:rsidR="000E179C" w:rsidRPr="000D729C" w:rsidRDefault="000E179C" w:rsidP="004A17FD">
      <w:pPr>
        <w:pStyle w:val="Heading2"/>
        <w:numPr>
          <w:ilvl w:val="1"/>
          <w:numId w:val="8"/>
        </w:numPr>
        <w:tabs>
          <w:tab w:val="left" w:pos="426"/>
          <w:tab w:val="left" w:pos="567"/>
          <w:tab w:val="left" w:pos="993"/>
        </w:tabs>
        <w:spacing w:before="8" w:line="276" w:lineRule="auto"/>
        <w:ind w:left="0" w:firstLine="0"/>
        <w:rPr>
          <w:rFonts w:ascii="Times New Roman" w:hAnsi="Times New Roman" w:cs="Times New Roman"/>
          <w:sz w:val="24"/>
          <w:szCs w:val="24"/>
        </w:rPr>
      </w:pPr>
      <w:r w:rsidRPr="000D729C">
        <w:rPr>
          <w:rFonts w:ascii="Times New Roman" w:hAnsi="Times New Roman" w:cs="Times New Roman"/>
          <w:sz w:val="24"/>
          <w:szCs w:val="24"/>
        </w:rPr>
        <w:t>Evaluarea modului în care măsurile vor spori lichiditatea pieței angro a gazelor naturale pe termen scurt</w:t>
      </w:r>
    </w:p>
    <w:p w14:paraId="71F962CB" w14:textId="77777777" w:rsidR="000E179C" w:rsidRPr="000D729C" w:rsidRDefault="000E179C" w:rsidP="005B5989">
      <w:pPr>
        <w:pStyle w:val="2"/>
        <w:shd w:val="clear" w:color="auto" w:fill="auto"/>
        <w:spacing w:before="0" w:line="276" w:lineRule="auto"/>
        <w:ind w:left="2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sz w:val="24"/>
          <w:szCs w:val="24"/>
          <w14:ligatures w14:val="none"/>
        </w:rPr>
        <w:t>Menținerea măsurii provizorii privind aplicarea toleranțelor va facilita accesul pe piața gazelor naturale și va contribui la asigurarea unui mediu transparent, competitiv și nediscriminatoriu, atât pentru participanții existenți, cât și pentru cei potențiali.</w:t>
      </w:r>
      <w:r w:rsidRPr="000D729C">
        <w:rPr>
          <w:rFonts w:ascii="Times New Roman" w:eastAsia="Times New Roman" w:hAnsi="Times New Roman" w:cs="Times New Roman"/>
          <w:kern w:val="0"/>
          <w:sz w:val="24"/>
          <w:szCs w:val="24"/>
          <w14:ligatures w14:val="none"/>
        </w:rPr>
        <w:t xml:space="preserve"> </w:t>
      </w:r>
    </w:p>
    <w:p w14:paraId="074FE715" w14:textId="77777777" w:rsidR="000E179C" w:rsidRPr="000D729C" w:rsidRDefault="000E179C" w:rsidP="005B5989">
      <w:pPr>
        <w:pStyle w:val="2"/>
        <w:shd w:val="clear" w:color="auto" w:fill="auto"/>
        <w:spacing w:before="0" w:line="276" w:lineRule="auto"/>
        <w:ind w:left="2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Măsurile propuse vor asigura о tranziție graduală de la regimul curent spre un model de piață corelat cu mecanismele de echilibrare prevăzute de Codul rețelelor de gaze naturale și Regulile pieței gazelor naturale.</w:t>
      </w:r>
    </w:p>
    <w:p w14:paraId="1F60C24F" w14:textId="77777777" w:rsidR="000E179C" w:rsidRPr="000D729C" w:rsidRDefault="000E179C" w:rsidP="005B5989">
      <w:pPr>
        <w:pStyle w:val="2"/>
        <w:shd w:val="clear" w:color="auto" w:fill="auto"/>
        <w:spacing w:before="0" w:line="276" w:lineRule="auto"/>
        <w:ind w:left="20" w:righ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Aceste măsuri sunt concepute astfel încât să susțină dezvoltarea pieței angro prin stimularea utilizării produselor standardizate pe termen scurt oferite pe platformele de tranzacționare, consolidând astfel lichiditatea și competitivitatea pieței.</w:t>
      </w:r>
    </w:p>
    <w:p w14:paraId="38AC1795" w14:textId="77777777" w:rsidR="005B5989" w:rsidRPr="000D729C" w:rsidRDefault="005B5989" w:rsidP="005B5989">
      <w:pPr>
        <w:pStyle w:val="2"/>
        <w:shd w:val="clear" w:color="auto" w:fill="auto"/>
        <w:spacing w:before="0" w:line="276" w:lineRule="auto"/>
        <w:ind w:left="20" w:firstLine="547"/>
        <w:jc w:val="both"/>
        <w:rPr>
          <w:rFonts w:ascii="Times New Roman" w:eastAsia="Times New Roman" w:hAnsi="Times New Roman" w:cs="Times New Roman"/>
          <w:kern w:val="0"/>
          <w:sz w:val="24"/>
          <w:szCs w:val="24"/>
          <w14:ligatures w14:val="none"/>
        </w:rPr>
      </w:pPr>
    </w:p>
    <w:p w14:paraId="6A2187B2" w14:textId="70990044" w:rsidR="000E179C" w:rsidRPr="000D729C" w:rsidRDefault="000E179C" w:rsidP="005B5989">
      <w:pPr>
        <w:pStyle w:val="2"/>
        <w:shd w:val="clear" w:color="auto" w:fill="auto"/>
        <w:spacing w:before="0" w:line="276" w:lineRule="auto"/>
        <w:ind w:left="2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Măsurile provizorii propuse prin prezentul Raport vor avea un impact substanțial și pozitiv:</w:t>
      </w:r>
    </w:p>
    <w:p w14:paraId="235FA343" w14:textId="77777777" w:rsidR="000E179C" w:rsidRPr="000D729C" w:rsidRDefault="000E179C" w:rsidP="004A17FD">
      <w:pPr>
        <w:pStyle w:val="2"/>
        <w:numPr>
          <w:ilvl w:val="0"/>
          <w:numId w:val="10"/>
        </w:numPr>
        <w:shd w:val="clear" w:color="auto" w:fill="auto"/>
        <w:tabs>
          <w:tab w:val="left" w:pos="140"/>
        </w:tabs>
        <w:spacing w:before="0" w:line="276" w:lineRule="auto"/>
        <w:ind w:left="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generarea unui grad crescut al lichidității pe piețele centralizate angro din Republica Moldova;</w:t>
      </w:r>
    </w:p>
    <w:p w14:paraId="270714E3" w14:textId="77777777" w:rsidR="000E179C" w:rsidRPr="000D729C" w:rsidRDefault="000E179C" w:rsidP="004A17FD">
      <w:pPr>
        <w:pStyle w:val="2"/>
        <w:numPr>
          <w:ilvl w:val="0"/>
          <w:numId w:val="10"/>
        </w:numPr>
        <w:shd w:val="clear" w:color="auto" w:fill="auto"/>
        <w:tabs>
          <w:tab w:val="left" w:pos="140"/>
        </w:tabs>
        <w:spacing w:before="0" w:line="276" w:lineRule="auto"/>
        <w:ind w:left="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generarea unor semnale credibile și robuste ale formării prețurilor, ca rezultat al interacțiunii între cerere și ofertă la nivel de zi gazieră;</w:t>
      </w:r>
    </w:p>
    <w:p w14:paraId="55B9103F" w14:textId="1DB09CC7" w:rsidR="000E179C" w:rsidRPr="000D729C" w:rsidRDefault="000E179C" w:rsidP="004A17FD">
      <w:pPr>
        <w:pStyle w:val="2"/>
        <w:numPr>
          <w:ilvl w:val="0"/>
          <w:numId w:val="10"/>
        </w:numPr>
        <w:shd w:val="clear" w:color="auto" w:fill="auto"/>
        <w:tabs>
          <w:tab w:val="left" w:pos="140"/>
          <w:tab w:val="left" w:pos="851"/>
        </w:tabs>
        <w:spacing w:before="0" w:line="276" w:lineRule="auto"/>
        <w:ind w:left="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reducerea costurilor de tranzacționare pe piețele centralizate și, pe cale de consecință, atenuarea disproporțiilor între prețurile ofertate pentru vânzarea/cumpărarea de gaze naturale</w:t>
      </w:r>
      <w:r w:rsidR="00B1546B" w:rsidRPr="000D729C">
        <w:rPr>
          <w:rFonts w:ascii="Times New Roman" w:eastAsia="Times New Roman" w:hAnsi="Times New Roman" w:cs="Times New Roman"/>
          <w:kern w:val="0"/>
          <w:sz w:val="24"/>
          <w:szCs w:val="24"/>
          <w14:ligatures w14:val="none"/>
        </w:rPr>
        <w:t>;</w:t>
      </w:r>
    </w:p>
    <w:p w14:paraId="37B11B2D" w14:textId="1B7B4B3F" w:rsidR="000E179C" w:rsidRPr="000D729C" w:rsidRDefault="000E179C" w:rsidP="004A17FD">
      <w:pPr>
        <w:pStyle w:val="2"/>
        <w:numPr>
          <w:ilvl w:val="0"/>
          <w:numId w:val="10"/>
        </w:numPr>
        <w:shd w:val="clear" w:color="auto" w:fill="auto"/>
        <w:tabs>
          <w:tab w:val="left" w:pos="140"/>
        </w:tabs>
        <w:spacing w:before="0" w:line="276" w:lineRule="auto"/>
        <w:ind w:left="0" w:firstLine="547"/>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creșterea încrederii participanților existenți și atragerea de noi actori pe piață, prin stabilirea unui cadru de tranzacționare previzibil, sigur și competitive</w:t>
      </w:r>
      <w:r w:rsidR="00B1546B" w:rsidRPr="000D729C">
        <w:rPr>
          <w:rFonts w:ascii="Times New Roman" w:eastAsia="Times New Roman" w:hAnsi="Times New Roman" w:cs="Times New Roman"/>
          <w:kern w:val="0"/>
          <w:sz w:val="24"/>
          <w:szCs w:val="24"/>
          <w14:ligatures w14:val="none"/>
        </w:rPr>
        <w:t>;</w:t>
      </w:r>
    </w:p>
    <w:p w14:paraId="7EA02D78" w14:textId="109AA5B6" w:rsidR="00C7294A" w:rsidRPr="000D729C" w:rsidRDefault="00DF2C44" w:rsidP="004A17FD">
      <w:pPr>
        <w:pStyle w:val="2"/>
        <w:numPr>
          <w:ilvl w:val="0"/>
          <w:numId w:val="10"/>
        </w:numPr>
        <w:shd w:val="clear" w:color="auto" w:fill="auto"/>
        <w:tabs>
          <w:tab w:val="left" w:pos="140"/>
        </w:tabs>
        <w:spacing w:before="0" w:after="154" w:line="276" w:lineRule="auto"/>
        <w:ind w:left="0" w:firstLine="547"/>
        <w:jc w:val="both"/>
        <w:rPr>
          <w:rFonts w:ascii="Times New Roman" w:eastAsia="Times New Roman" w:hAnsi="Times New Roman" w:cs="Times New Roman"/>
          <w:kern w:val="0"/>
          <w:sz w:val="24"/>
          <w:szCs w:val="24"/>
          <w14:ligatures w14:val="none"/>
        </w:rPr>
      </w:pPr>
      <w:r w:rsidRPr="000D729C">
        <w:rPr>
          <w:rFonts w:ascii="Times New Roman" w:hAnsi="Times New Roman" w:cs="Times New Roman"/>
          <w:sz w:val="24"/>
          <w:szCs w:val="24"/>
        </w:rPr>
        <w:t xml:space="preserve">implementarea mecanismului PE, un instrument care va permite US să tranzacționeze între ei cantitățile de gaze naturale aferente dezechilibrelor înregistrate, în scopul echilibrării portofoliului zilnic individual al acestora și reducerii necesității OST de a întreprinde acțiuni de </w:t>
      </w:r>
      <w:r w:rsidRPr="000D729C">
        <w:rPr>
          <w:rFonts w:ascii="Times New Roman" w:hAnsi="Times New Roman" w:cs="Times New Roman"/>
          <w:sz w:val="24"/>
          <w:szCs w:val="24"/>
        </w:rPr>
        <w:lastRenderedPageBreak/>
        <w:t>echilibrare</w:t>
      </w:r>
      <w:r w:rsidR="000E179C" w:rsidRPr="000D729C">
        <w:rPr>
          <w:rFonts w:ascii="Times New Roman" w:hAnsi="Times New Roman" w:cs="Times New Roman"/>
          <w:sz w:val="24"/>
          <w:szCs w:val="24"/>
        </w:rPr>
        <w:t>.</w:t>
      </w:r>
    </w:p>
    <w:p w14:paraId="790A5641" w14:textId="77777777" w:rsidR="000E179C" w:rsidRPr="000D729C" w:rsidRDefault="000E179C" w:rsidP="004A17FD">
      <w:pPr>
        <w:pStyle w:val="Heading1"/>
        <w:numPr>
          <w:ilvl w:val="0"/>
          <w:numId w:val="9"/>
        </w:numPr>
        <w:spacing w:before="240" w:after="120" w:line="276" w:lineRule="auto"/>
        <w:ind w:left="425" w:hanging="425"/>
        <w:jc w:val="center"/>
        <w:rPr>
          <w:rFonts w:ascii="Times New Roman" w:hAnsi="Times New Roman" w:cs="Times New Roman"/>
          <w:sz w:val="24"/>
          <w:szCs w:val="24"/>
        </w:rPr>
      </w:pPr>
      <w:bookmarkStart w:id="16" w:name="_Toc167708307"/>
      <w:r w:rsidRPr="000D729C">
        <w:rPr>
          <w:rFonts w:ascii="Times New Roman" w:hAnsi="Times New Roman" w:cs="Times New Roman"/>
          <w:sz w:val="24"/>
          <w:szCs w:val="24"/>
        </w:rPr>
        <w:t>MĂSURI DE SUBSTITUIRE ȘI ELIMINARE A MĂSURILOR PROVIZORII</w:t>
      </w:r>
      <w:bookmarkStart w:id="17" w:name="_Toc167708308"/>
      <w:bookmarkEnd w:id="16"/>
    </w:p>
    <w:p w14:paraId="1C9BF274" w14:textId="77777777" w:rsidR="000E179C" w:rsidRPr="000D729C" w:rsidRDefault="000E179C" w:rsidP="004A17FD">
      <w:pPr>
        <w:pStyle w:val="Heading1"/>
        <w:numPr>
          <w:ilvl w:val="1"/>
          <w:numId w:val="9"/>
        </w:numPr>
        <w:tabs>
          <w:tab w:val="left" w:pos="426"/>
          <w:tab w:val="left" w:pos="851"/>
        </w:tabs>
        <w:spacing w:line="276" w:lineRule="auto"/>
        <w:ind w:left="0" w:firstLine="0"/>
        <w:rPr>
          <w:rFonts w:ascii="Times New Roman" w:hAnsi="Times New Roman" w:cs="Times New Roman"/>
          <w:sz w:val="24"/>
          <w:szCs w:val="24"/>
        </w:rPr>
      </w:pPr>
      <w:r w:rsidRPr="000D729C">
        <w:rPr>
          <w:rFonts w:ascii="Times New Roman" w:hAnsi="Times New Roman" w:cs="Times New Roman"/>
          <w:sz w:val="24"/>
          <w:szCs w:val="24"/>
        </w:rPr>
        <w:t>Descrierea măsurilor care vor fi luate în scopul eliminării măsurilor provizorii</w:t>
      </w:r>
      <w:bookmarkEnd w:id="17"/>
    </w:p>
    <w:p w14:paraId="25B102EA" w14:textId="77777777" w:rsidR="000E179C" w:rsidRPr="000D729C" w:rsidRDefault="000E179C" w:rsidP="00B1546B">
      <w:pPr>
        <w:pStyle w:val="BodyText"/>
        <w:tabs>
          <w:tab w:val="left" w:pos="426"/>
        </w:tabs>
        <w:spacing w:before="40"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Măsurile provizorii reglementate în prezentul Raport, precum și măsurile incluse în Planul de acțiuni privind implementarea de către OST a Codului rețelelor de gaze naturale și Regulilor pieței gazelor naturale vor fi integral substituite prin implementarea cadrului normativ de reglementare. </w:t>
      </w:r>
    </w:p>
    <w:p w14:paraId="271B5A4D" w14:textId="3BFB3ECB" w:rsidR="006C134D" w:rsidRPr="000D729C" w:rsidRDefault="006C134D" w:rsidP="00997C6C">
      <w:pPr>
        <w:pStyle w:val="BodyText"/>
        <w:tabs>
          <w:tab w:val="left" w:pos="426"/>
        </w:tabs>
        <w:spacing w:before="40" w:line="276" w:lineRule="auto"/>
        <w:jc w:val="both"/>
        <w:rPr>
          <w:rFonts w:ascii="Times New Roman" w:hAnsi="Times New Roman" w:cs="Times New Roman"/>
          <w:sz w:val="24"/>
          <w:szCs w:val="24"/>
        </w:rPr>
      </w:pPr>
      <w:r w:rsidRPr="000D729C">
        <w:rPr>
          <w:rFonts w:ascii="Times New Roman" w:hAnsi="Times New Roman" w:cs="Times New Roman"/>
          <w:sz w:val="24"/>
          <w:szCs w:val="24"/>
        </w:rPr>
        <w:tab/>
        <w:t>Calendarul estimat al acţiunilor ce vor fi desfăşurate de către SRL „Vestmoldtransgaz” în vederea renunţării la aplicarea măsurilor provizorii este prezentat în tabelul de mai jos:</w:t>
      </w:r>
    </w:p>
    <w:tbl>
      <w:tblPr>
        <w:tblStyle w:val="TableGrid"/>
        <w:tblW w:w="0" w:type="auto"/>
        <w:tblLook w:val="04A0" w:firstRow="1" w:lastRow="0" w:firstColumn="1" w:lastColumn="0" w:noHBand="0" w:noVBand="1"/>
      </w:tblPr>
      <w:tblGrid>
        <w:gridCol w:w="817"/>
        <w:gridCol w:w="4025"/>
        <w:gridCol w:w="2421"/>
        <w:gridCol w:w="2422"/>
      </w:tblGrid>
      <w:tr w:rsidR="006C134D" w:rsidRPr="000D729C" w14:paraId="158F925D" w14:textId="77777777" w:rsidTr="00997C6C">
        <w:tc>
          <w:tcPr>
            <w:tcW w:w="817" w:type="dxa"/>
          </w:tcPr>
          <w:p w14:paraId="2D6E7374" w14:textId="2BC7DE00" w:rsidR="006C134D" w:rsidRPr="000D729C" w:rsidRDefault="006C134D"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Nr.</w:t>
            </w:r>
          </w:p>
        </w:tc>
        <w:tc>
          <w:tcPr>
            <w:tcW w:w="4025" w:type="dxa"/>
          </w:tcPr>
          <w:p w14:paraId="014FFF50" w14:textId="1FFAD2FB" w:rsidR="006C134D" w:rsidRPr="000D729C" w:rsidRDefault="006C134D"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 xml:space="preserve">Acțiune </w:t>
            </w:r>
            <w:r w:rsidRPr="000D729C">
              <w:rPr>
                <w:rFonts w:ascii="Times New Roman" w:hAnsi="Times New Roman" w:cs="Times New Roman"/>
                <w:sz w:val="24"/>
                <w:szCs w:val="24"/>
                <w:lang w:val="ro-RO"/>
              </w:rPr>
              <w:t>planificată</w:t>
            </w:r>
          </w:p>
        </w:tc>
        <w:tc>
          <w:tcPr>
            <w:tcW w:w="2421" w:type="dxa"/>
          </w:tcPr>
          <w:p w14:paraId="75025AB1" w14:textId="5D0B7484" w:rsidR="006C134D" w:rsidRPr="000D729C" w:rsidRDefault="006C134D"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Termen</w:t>
            </w:r>
          </w:p>
        </w:tc>
        <w:tc>
          <w:tcPr>
            <w:tcW w:w="2422" w:type="dxa"/>
          </w:tcPr>
          <w:p w14:paraId="765E2A74" w14:textId="10482AED" w:rsidR="006C134D" w:rsidRPr="000D729C" w:rsidRDefault="006C134D"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Responsabili</w:t>
            </w:r>
          </w:p>
        </w:tc>
      </w:tr>
      <w:tr w:rsidR="00C97D75" w:rsidRPr="000D729C" w14:paraId="73859659" w14:textId="77777777" w:rsidTr="006C134D">
        <w:tc>
          <w:tcPr>
            <w:tcW w:w="817" w:type="dxa"/>
          </w:tcPr>
          <w:p w14:paraId="1D6344B2" w14:textId="330B792E" w:rsidR="00C97D75" w:rsidRPr="000D729C" w:rsidRDefault="00691FDA" w:rsidP="00B1546B">
            <w:pPr>
              <w:pStyle w:val="BodyText"/>
              <w:tabs>
                <w:tab w:val="left" w:pos="426"/>
              </w:tabs>
              <w:spacing w:before="40" w:line="276" w:lineRule="auto"/>
              <w:jc w:val="both"/>
              <w:rPr>
                <w:rFonts w:ascii="Times New Roman" w:hAnsi="Times New Roman" w:cs="Times New Roman"/>
                <w:sz w:val="24"/>
                <w:szCs w:val="24"/>
              </w:rPr>
            </w:pPr>
            <w:r w:rsidRPr="000D729C">
              <w:rPr>
                <w:rFonts w:ascii="Times New Roman" w:hAnsi="Times New Roman" w:cs="Times New Roman"/>
                <w:sz w:val="24"/>
                <w:szCs w:val="24"/>
              </w:rPr>
              <w:t>1.</w:t>
            </w:r>
          </w:p>
        </w:tc>
        <w:tc>
          <w:tcPr>
            <w:tcW w:w="4025" w:type="dxa"/>
          </w:tcPr>
          <w:p w14:paraId="5E15D5D5" w14:textId="03DCD2E4" w:rsidR="00C97D75" w:rsidRPr="000D729C" w:rsidRDefault="00C97D75" w:rsidP="00C97D75">
            <w:pPr>
              <w:shd w:val="clear" w:color="auto" w:fill="FFFFFF" w:themeFill="background1"/>
              <w:jc w:val="both"/>
              <w:rPr>
                <w:rFonts w:ascii="Times New Roman" w:hAnsi="Times New Roman"/>
                <w:bCs/>
                <w:sz w:val="24"/>
                <w:szCs w:val="24"/>
                <w:lang w:val="ro-RO"/>
              </w:rPr>
            </w:pPr>
            <w:r w:rsidRPr="000D729C">
              <w:rPr>
                <w:rFonts w:ascii="Times New Roman" w:hAnsi="Times New Roman" w:cs="Times New Roman"/>
                <w:sz w:val="24"/>
                <w:szCs w:val="24"/>
              </w:rPr>
              <w:t>Actualizarea anuală a Raportului, pornind de la situația existent pe piață</w:t>
            </w:r>
          </w:p>
          <w:p w14:paraId="044F33EA" w14:textId="79D880B5" w:rsidR="00C97D75" w:rsidRPr="000D729C" w:rsidRDefault="00C97D75" w:rsidP="00C97D75">
            <w:pPr>
              <w:shd w:val="clear" w:color="auto" w:fill="FFFFFF" w:themeFill="background1"/>
              <w:jc w:val="both"/>
              <w:rPr>
                <w:rFonts w:ascii="Times New Roman" w:hAnsi="Times New Roman"/>
                <w:bCs/>
                <w:sz w:val="24"/>
                <w:szCs w:val="24"/>
                <w:lang w:val="ro-RO"/>
              </w:rPr>
            </w:pPr>
            <w:r w:rsidRPr="000D729C">
              <w:rPr>
                <w:rFonts w:ascii="Times New Roman" w:hAnsi="Times New Roman"/>
                <w:bCs/>
                <w:sz w:val="24"/>
                <w:szCs w:val="24"/>
                <w:lang w:val="ro-RO"/>
              </w:rPr>
              <w:t>Justificarea necesității continuării aplicării măsurilor provizorii de echilibrare.</w:t>
            </w:r>
          </w:p>
        </w:tc>
        <w:tc>
          <w:tcPr>
            <w:tcW w:w="2421" w:type="dxa"/>
          </w:tcPr>
          <w:p w14:paraId="6D8743EA" w14:textId="5AA08F6F" w:rsidR="00C97D75" w:rsidRPr="000D729C" w:rsidRDefault="00C97D75" w:rsidP="00B1546B">
            <w:pPr>
              <w:pStyle w:val="BodyText"/>
              <w:tabs>
                <w:tab w:val="left" w:pos="426"/>
              </w:tabs>
              <w:spacing w:before="40" w:line="276" w:lineRule="auto"/>
              <w:jc w:val="both"/>
              <w:rPr>
                <w:rFonts w:ascii="Times New Roman" w:hAnsi="Times New Roman" w:cs="Times New Roman"/>
                <w:sz w:val="24"/>
                <w:szCs w:val="24"/>
              </w:rPr>
            </w:pPr>
            <w:r w:rsidRPr="000D729C">
              <w:rPr>
                <w:rFonts w:ascii="Times New Roman" w:hAnsi="Times New Roman" w:cs="Times New Roman"/>
                <w:sz w:val="24"/>
                <w:szCs w:val="24"/>
              </w:rPr>
              <w:t>Anual, până la data de 10 decembrie</w:t>
            </w:r>
          </w:p>
        </w:tc>
        <w:tc>
          <w:tcPr>
            <w:tcW w:w="2422" w:type="dxa"/>
          </w:tcPr>
          <w:p w14:paraId="794552C7" w14:textId="5BC1581C" w:rsidR="00C97D75" w:rsidRPr="000D729C" w:rsidRDefault="00C97D75" w:rsidP="00B1546B">
            <w:pPr>
              <w:pStyle w:val="BodyText"/>
              <w:tabs>
                <w:tab w:val="left" w:pos="426"/>
              </w:tabs>
              <w:spacing w:before="40" w:line="276" w:lineRule="auto"/>
              <w:jc w:val="both"/>
              <w:rPr>
                <w:rFonts w:ascii="Times New Roman" w:hAnsi="Times New Roman" w:cs="Times New Roman"/>
                <w:sz w:val="24"/>
                <w:szCs w:val="24"/>
              </w:rPr>
            </w:pPr>
            <w:r w:rsidRPr="000D729C">
              <w:rPr>
                <w:rFonts w:ascii="Times New Roman" w:hAnsi="Times New Roman" w:cs="Times New Roman"/>
                <w:sz w:val="24"/>
                <w:szCs w:val="24"/>
                <w:lang w:val="ro-RO"/>
              </w:rPr>
              <w:t>OST</w:t>
            </w:r>
          </w:p>
        </w:tc>
      </w:tr>
      <w:tr w:rsidR="006C134D" w:rsidRPr="000D729C" w14:paraId="0299D84D" w14:textId="77777777" w:rsidTr="00997C6C">
        <w:tc>
          <w:tcPr>
            <w:tcW w:w="817" w:type="dxa"/>
          </w:tcPr>
          <w:p w14:paraId="3FEEB4C1" w14:textId="2F77C0D3" w:rsidR="006C134D" w:rsidRPr="000D729C" w:rsidRDefault="00691FDA"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2</w:t>
            </w:r>
            <w:r w:rsidR="00E42EAD" w:rsidRPr="000D729C">
              <w:rPr>
                <w:rFonts w:ascii="Times New Roman" w:hAnsi="Times New Roman" w:cs="Times New Roman"/>
                <w:sz w:val="24"/>
                <w:szCs w:val="24"/>
                <w:lang w:val="ro-RO"/>
              </w:rPr>
              <w:t>.</w:t>
            </w:r>
          </w:p>
        </w:tc>
        <w:tc>
          <w:tcPr>
            <w:tcW w:w="4025" w:type="dxa"/>
          </w:tcPr>
          <w:p w14:paraId="43992814" w14:textId="23FE512A" w:rsidR="006C134D" w:rsidRPr="000D729C" w:rsidRDefault="00E42EAD"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 xml:space="preserve">Operaționalizarea platformei de echilibrare. </w:t>
            </w:r>
          </w:p>
        </w:tc>
        <w:tc>
          <w:tcPr>
            <w:tcW w:w="2421" w:type="dxa"/>
          </w:tcPr>
          <w:p w14:paraId="65A36A8B" w14:textId="644BD546" w:rsidR="006C134D" w:rsidRPr="000D729C" w:rsidRDefault="00691FDA"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Ianuarie</w:t>
            </w:r>
            <w:r w:rsidR="00E42EAD" w:rsidRPr="000D729C">
              <w:rPr>
                <w:rFonts w:ascii="Times New Roman" w:hAnsi="Times New Roman" w:cs="Times New Roman"/>
                <w:sz w:val="24"/>
                <w:szCs w:val="24"/>
                <w:lang w:val="ro-RO"/>
              </w:rPr>
              <w:t xml:space="preserve"> 2026</w:t>
            </w:r>
          </w:p>
        </w:tc>
        <w:tc>
          <w:tcPr>
            <w:tcW w:w="2422" w:type="dxa"/>
          </w:tcPr>
          <w:p w14:paraId="493B4A2F" w14:textId="1CA62C7C" w:rsidR="006C134D" w:rsidRPr="000D729C" w:rsidRDefault="00E42EAD" w:rsidP="00B1546B">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OST</w:t>
            </w:r>
          </w:p>
        </w:tc>
      </w:tr>
      <w:tr w:rsidR="00E42EAD" w:rsidRPr="000D729C" w14:paraId="2BF69284" w14:textId="77777777" w:rsidTr="00997C6C">
        <w:tc>
          <w:tcPr>
            <w:tcW w:w="817" w:type="dxa"/>
          </w:tcPr>
          <w:p w14:paraId="630BB2AD" w14:textId="7DF79851" w:rsidR="00E42EAD" w:rsidRPr="000D729C" w:rsidRDefault="00691FDA"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3</w:t>
            </w:r>
            <w:r w:rsidR="00E42EAD" w:rsidRPr="000D729C">
              <w:rPr>
                <w:rFonts w:ascii="Times New Roman" w:hAnsi="Times New Roman" w:cs="Times New Roman"/>
                <w:sz w:val="24"/>
                <w:szCs w:val="24"/>
                <w:lang w:val="ro-RO"/>
              </w:rPr>
              <w:t>.</w:t>
            </w:r>
          </w:p>
        </w:tc>
        <w:tc>
          <w:tcPr>
            <w:tcW w:w="4025" w:type="dxa"/>
          </w:tcPr>
          <w:p w14:paraId="52D2733C" w14:textId="757138E2" w:rsidR="00E42EAD" w:rsidRPr="000D729C" w:rsidRDefault="00E42EAD"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Reducerea treptată a nivelului de toleranță până la excludere.</w:t>
            </w:r>
          </w:p>
        </w:tc>
        <w:tc>
          <w:tcPr>
            <w:tcW w:w="2421" w:type="dxa"/>
          </w:tcPr>
          <w:p w14:paraId="6E9BB436" w14:textId="2F646822" w:rsidR="00E42EAD" w:rsidRPr="000D729C" w:rsidRDefault="00E42EAD"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Conform tabelului prezentat la pct. 4.1</w:t>
            </w:r>
          </w:p>
        </w:tc>
        <w:tc>
          <w:tcPr>
            <w:tcW w:w="2422" w:type="dxa"/>
          </w:tcPr>
          <w:p w14:paraId="665D7FA4" w14:textId="39E1ACB0" w:rsidR="00E42EAD" w:rsidRPr="000D729C" w:rsidRDefault="00E42EAD" w:rsidP="002C4653">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OST</w:t>
            </w:r>
          </w:p>
        </w:tc>
      </w:tr>
      <w:tr w:rsidR="00E42EAD" w:rsidRPr="000D729C" w14:paraId="23E78319" w14:textId="77777777" w:rsidTr="006C134D">
        <w:tc>
          <w:tcPr>
            <w:tcW w:w="817" w:type="dxa"/>
          </w:tcPr>
          <w:p w14:paraId="4B9D91E8" w14:textId="13A559F2" w:rsidR="00E42EAD" w:rsidRPr="000D729C" w:rsidRDefault="00691FDA"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4</w:t>
            </w:r>
            <w:r w:rsidR="003C7485" w:rsidRPr="000D729C">
              <w:rPr>
                <w:rFonts w:ascii="Times New Roman" w:hAnsi="Times New Roman" w:cs="Times New Roman"/>
                <w:sz w:val="24"/>
                <w:szCs w:val="24"/>
                <w:lang w:val="ro-RO"/>
              </w:rPr>
              <w:t xml:space="preserve">. </w:t>
            </w:r>
          </w:p>
        </w:tc>
        <w:tc>
          <w:tcPr>
            <w:tcW w:w="4025" w:type="dxa"/>
          </w:tcPr>
          <w:p w14:paraId="76F359E1" w14:textId="1F3B07A4" w:rsidR="00E42EAD" w:rsidRPr="000D729C" w:rsidRDefault="005A76E1"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Oferirea licitațiilor intra-zilnice la punct</w:t>
            </w:r>
            <w:r w:rsidR="003C7485" w:rsidRPr="000D729C">
              <w:rPr>
                <w:rFonts w:ascii="Times New Roman" w:hAnsi="Times New Roman" w:cs="Times New Roman"/>
                <w:sz w:val="24"/>
                <w:szCs w:val="24"/>
                <w:lang w:val="ro-RO"/>
              </w:rPr>
              <w:t>ele</w:t>
            </w:r>
            <w:r w:rsidRPr="000D729C">
              <w:rPr>
                <w:rFonts w:ascii="Times New Roman" w:hAnsi="Times New Roman" w:cs="Times New Roman"/>
                <w:sz w:val="24"/>
                <w:szCs w:val="24"/>
              </w:rPr>
              <w:t xml:space="preserve"> de </w:t>
            </w:r>
            <w:r w:rsidR="003C7485" w:rsidRPr="000D729C">
              <w:rPr>
                <w:rFonts w:ascii="Times New Roman" w:hAnsi="Times New Roman" w:cs="Times New Roman"/>
                <w:sz w:val="24"/>
                <w:szCs w:val="24"/>
                <w:lang w:val="ro-RO"/>
              </w:rPr>
              <w:t>interconectare</w:t>
            </w:r>
            <w:r w:rsidRPr="000D729C">
              <w:rPr>
                <w:rFonts w:ascii="Times New Roman" w:hAnsi="Times New Roman" w:cs="Times New Roman"/>
                <w:sz w:val="24"/>
                <w:szCs w:val="24"/>
              </w:rPr>
              <w:t xml:space="preserve"> în scopul ajustării port</w:t>
            </w:r>
            <w:r w:rsidR="003C7485" w:rsidRPr="000D729C">
              <w:rPr>
                <w:rFonts w:ascii="Times New Roman" w:hAnsi="Times New Roman" w:cs="Times New Roman"/>
                <w:sz w:val="24"/>
                <w:szCs w:val="24"/>
              </w:rPr>
              <w:t>ofoliilor</w:t>
            </w:r>
            <w:r w:rsidR="003C7485" w:rsidRPr="000D729C">
              <w:rPr>
                <w:rFonts w:ascii="Times New Roman" w:hAnsi="Times New Roman" w:cs="Times New Roman"/>
                <w:sz w:val="24"/>
                <w:szCs w:val="24"/>
                <w:lang w:val="ro-RO"/>
              </w:rPr>
              <w:t xml:space="preserve"> PRE.</w:t>
            </w:r>
          </w:p>
        </w:tc>
        <w:tc>
          <w:tcPr>
            <w:tcW w:w="2421" w:type="dxa"/>
          </w:tcPr>
          <w:p w14:paraId="70CBFC74" w14:textId="1E835649" w:rsidR="00E42EAD" w:rsidRPr="000D729C" w:rsidRDefault="003C7485"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Trimestrul I 2026</w:t>
            </w:r>
          </w:p>
        </w:tc>
        <w:tc>
          <w:tcPr>
            <w:tcW w:w="2422" w:type="dxa"/>
          </w:tcPr>
          <w:p w14:paraId="5CA0E7BF" w14:textId="284D985C" w:rsidR="00E42EAD" w:rsidRPr="000D729C" w:rsidRDefault="003C7485"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OST</w:t>
            </w:r>
          </w:p>
        </w:tc>
      </w:tr>
      <w:tr w:rsidR="003C7485" w:rsidRPr="000D729C" w14:paraId="70CFCAF9" w14:textId="77777777" w:rsidTr="006C134D">
        <w:tc>
          <w:tcPr>
            <w:tcW w:w="817" w:type="dxa"/>
          </w:tcPr>
          <w:p w14:paraId="795E780A" w14:textId="1778CF22" w:rsidR="003C7485" w:rsidRPr="000D729C" w:rsidRDefault="003C7485"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5.</w:t>
            </w:r>
          </w:p>
        </w:tc>
        <w:tc>
          <w:tcPr>
            <w:tcW w:w="4025" w:type="dxa"/>
          </w:tcPr>
          <w:p w14:paraId="382FFF8F" w14:textId="24C8F34B" w:rsidR="003C7485" w:rsidRPr="000D729C" w:rsidRDefault="003C7485"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 xml:space="preserve">Modificarea </w:t>
            </w:r>
            <w:r w:rsidR="004E5B2F" w:rsidRPr="000D729C">
              <w:rPr>
                <w:rFonts w:ascii="Times New Roman" w:hAnsi="Times New Roman" w:cs="Times New Roman"/>
                <w:sz w:val="24"/>
                <w:szCs w:val="24"/>
              </w:rPr>
              <w:t>termenilor și condițiilor aferente prestării serviciului de flexibilitate prin stocare în conductă.</w:t>
            </w:r>
          </w:p>
        </w:tc>
        <w:tc>
          <w:tcPr>
            <w:tcW w:w="2421" w:type="dxa"/>
          </w:tcPr>
          <w:p w14:paraId="246BE864" w14:textId="2469B993" w:rsidR="003C7485" w:rsidRPr="000D729C" w:rsidRDefault="004E5B2F" w:rsidP="00E42EAD">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Trimestrul IV 2026</w:t>
            </w:r>
          </w:p>
        </w:tc>
        <w:tc>
          <w:tcPr>
            <w:tcW w:w="2422" w:type="dxa"/>
          </w:tcPr>
          <w:p w14:paraId="5ABF1D31" w14:textId="458842EA" w:rsidR="003C7485" w:rsidRPr="000D729C" w:rsidRDefault="004E5B2F" w:rsidP="002C4653">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OST</w:t>
            </w:r>
          </w:p>
        </w:tc>
      </w:tr>
      <w:tr w:rsidR="004E5B2F" w:rsidRPr="000D729C" w14:paraId="360E42C6" w14:textId="77777777" w:rsidTr="006C134D">
        <w:tc>
          <w:tcPr>
            <w:tcW w:w="817" w:type="dxa"/>
          </w:tcPr>
          <w:p w14:paraId="39B5A3FF" w14:textId="066861D5"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6.</w:t>
            </w:r>
          </w:p>
        </w:tc>
        <w:tc>
          <w:tcPr>
            <w:tcW w:w="4025" w:type="dxa"/>
          </w:tcPr>
          <w:p w14:paraId="08613C51" w14:textId="6A512A21"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rPr>
              <w:t xml:space="preserve">Implementarea platformei informaționale pentru schimb de date comerciale (schimbul de date cu operatorii de sistem adiacenți, </w:t>
            </w:r>
            <w:r w:rsidRPr="000D729C">
              <w:rPr>
                <w:rFonts w:ascii="Times New Roman" w:hAnsi="Times New Roman" w:cs="Times New Roman"/>
                <w:sz w:val="24"/>
                <w:szCs w:val="24"/>
                <w:lang w:val="ro-RO"/>
              </w:rPr>
              <w:t>confirmarea notificărilor comerciale la PVT, determinarea dezechilibrelor inițiale, finale etc)</w:t>
            </w:r>
          </w:p>
        </w:tc>
        <w:tc>
          <w:tcPr>
            <w:tcW w:w="2421" w:type="dxa"/>
          </w:tcPr>
          <w:p w14:paraId="15539844" w14:textId="3C300097"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Trimestrul IV 2030</w:t>
            </w:r>
          </w:p>
        </w:tc>
        <w:tc>
          <w:tcPr>
            <w:tcW w:w="2422" w:type="dxa"/>
          </w:tcPr>
          <w:p w14:paraId="43051BF4" w14:textId="6E6BFFAF"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OST</w:t>
            </w:r>
          </w:p>
        </w:tc>
      </w:tr>
      <w:tr w:rsidR="004E5B2F" w:rsidRPr="000D729C" w14:paraId="61978D71" w14:textId="77777777" w:rsidTr="002C4653">
        <w:tc>
          <w:tcPr>
            <w:tcW w:w="817" w:type="dxa"/>
          </w:tcPr>
          <w:p w14:paraId="2D5FA6EC" w14:textId="063EAE79"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 xml:space="preserve">7. </w:t>
            </w:r>
          </w:p>
        </w:tc>
        <w:tc>
          <w:tcPr>
            <w:tcW w:w="4025" w:type="dxa"/>
          </w:tcPr>
          <w:p w14:paraId="499384D3" w14:textId="10715A43"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Elaborarea metodei pentru estimarea consumului zilnic pentru fiecare categorie de consumatori finali la care evidența consumului de gaze naturale nu este realizată în regim zilnic, în baza profilurilor standardizate de consum în vederea îndeplinirii prevederilor art. 566-571 din codul rețelei.</w:t>
            </w:r>
          </w:p>
        </w:tc>
        <w:tc>
          <w:tcPr>
            <w:tcW w:w="2421" w:type="dxa"/>
          </w:tcPr>
          <w:p w14:paraId="3B5B6B5E" w14:textId="358FEE24"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Trimestrul IV 2027</w:t>
            </w:r>
          </w:p>
        </w:tc>
        <w:tc>
          <w:tcPr>
            <w:tcW w:w="2422" w:type="dxa"/>
          </w:tcPr>
          <w:p w14:paraId="3D32D163" w14:textId="0A1295FC" w:rsidR="004E5B2F" w:rsidRPr="000D729C" w:rsidRDefault="004E5B2F" w:rsidP="002C4653">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OSD</w:t>
            </w:r>
          </w:p>
        </w:tc>
      </w:tr>
      <w:tr w:rsidR="004E5B2F" w:rsidRPr="000D729C" w14:paraId="75FFD40B" w14:textId="77777777" w:rsidTr="002C4653">
        <w:tc>
          <w:tcPr>
            <w:tcW w:w="817" w:type="dxa"/>
          </w:tcPr>
          <w:p w14:paraId="0E1A1706" w14:textId="57F09ABF"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 xml:space="preserve">8. </w:t>
            </w:r>
          </w:p>
        </w:tc>
        <w:tc>
          <w:tcPr>
            <w:tcW w:w="4025" w:type="dxa"/>
          </w:tcPr>
          <w:p w14:paraId="19F1F508" w14:textId="44858410"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Elaborarea și prezentarea Metodologiei de calculare a plăţilor pentru dezechilibrul zilnic</w:t>
            </w:r>
          </w:p>
        </w:tc>
        <w:tc>
          <w:tcPr>
            <w:tcW w:w="2421" w:type="dxa"/>
          </w:tcPr>
          <w:p w14:paraId="7252020E" w14:textId="0B23B9AD" w:rsidR="004E5B2F" w:rsidRPr="000D729C" w:rsidRDefault="004E5B2F" w:rsidP="004E5B2F">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Trimestrul IV 2028</w:t>
            </w:r>
          </w:p>
        </w:tc>
        <w:tc>
          <w:tcPr>
            <w:tcW w:w="2422" w:type="dxa"/>
          </w:tcPr>
          <w:p w14:paraId="4F25BE3C" w14:textId="03C0DC92" w:rsidR="004E5B2F" w:rsidRPr="000D729C" w:rsidRDefault="004E5B2F" w:rsidP="002C4653">
            <w:pPr>
              <w:pStyle w:val="BodyText"/>
              <w:tabs>
                <w:tab w:val="left" w:pos="426"/>
              </w:tabs>
              <w:spacing w:before="40" w:line="276" w:lineRule="auto"/>
              <w:jc w:val="both"/>
              <w:rPr>
                <w:rFonts w:ascii="Times New Roman" w:hAnsi="Times New Roman" w:cs="Times New Roman"/>
                <w:sz w:val="24"/>
                <w:szCs w:val="24"/>
                <w:lang w:val="ro-RO"/>
              </w:rPr>
            </w:pPr>
            <w:r w:rsidRPr="000D729C">
              <w:rPr>
                <w:rFonts w:ascii="Times New Roman" w:hAnsi="Times New Roman" w:cs="Times New Roman"/>
                <w:sz w:val="24"/>
                <w:szCs w:val="24"/>
                <w:lang w:val="ro-RO"/>
              </w:rPr>
              <w:t>OST</w:t>
            </w:r>
          </w:p>
        </w:tc>
      </w:tr>
    </w:tbl>
    <w:p w14:paraId="0CD1E3C1" w14:textId="77777777" w:rsidR="006C134D" w:rsidRPr="000D729C" w:rsidRDefault="006C134D" w:rsidP="00B1546B">
      <w:pPr>
        <w:pStyle w:val="BodyText"/>
        <w:tabs>
          <w:tab w:val="left" w:pos="426"/>
        </w:tabs>
        <w:spacing w:before="40" w:line="276" w:lineRule="auto"/>
        <w:ind w:firstLine="567"/>
        <w:jc w:val="both"/>
        <w:rPr>
          <w:rFonts w:ascii="Times New Roman" w:hAnsi="Times New Roman" w:cs="Times New Roman"/>
          <w:sz w:val="24"/>
          <w:szCs w:val="24"/>
        </w:rPr>
      </w:pPr>
    </w:p>
    <w:p w14:paraId="12C99C62" w14:textId="7DDE7C53" w:rsidR="000E179C" w:rsidRPr="000D729C" w:rsidRDefault="000E179C" w:rsidP="00B1546B">
      <w:pPr>
        <w:pStyle w:val="BodyText"/>
        <w:tabs>
          <w:tab w:val="left" w:pos="426"/>
        </w:tabs>
        <w:spacing w:before="40" w:line="276" w:lineRule="auto"/>
        <w:ind w:firstLine="567"/>
        <w:jc w:val="both"/>
        <w:rPr>
          <w:rFonts w:ascii="Times New Roman" w:hAnsi="Times New Roman" w:cs="Times New Roman"/>
          <w:sz w:val="24"/>
          <w:szCs w:val="24"/>
        </w:rPr>
      </w:pPr>
      <w:r w:rsidRPr="000D729C">
        <w:rPr>
          <w:rFonts w:ascii="Times New Roman" w:hAnsi="Times New Roman" w:cs="Times New Roman"/>
          <w:sz w:val="24"/>
          <w:szCs w:val="24"/>
        </w:rPr>
        <w:t xml:space="preserve">Documentul este actualizat la zi, având ca scop prelungirea termenului de valabilitate, în conformitate cu prevederile art. 610, </w:t>
      </w:r>
      <w:r w:rsidR="00406E35" w:rsidRPr="000D729C">
        <w:rPr>
          <w:rFonts w:ascii="Times New Roman" w:hAnsi="Times New Roman" w:cs="Times New Roman"/>
          <w:sz w:val="24"/>
          <w:szCs w:val="24"/>
        </w:rPr>
        <w:t>s</w:t>
      </w:r>
      <w:r w:rsidRPr="000D729C">
        <w:rPr>
          <w:rFonts w:ascii="Times New Roman" w:hAnsi="Times New Roman" w:cs="Times New Roman"/>
          <w:sz w:val="24"/>
          <w:szCs w:val="24"/>
        </w:rPr>
        <w:t xml:space="preserve">ecțiunea 3, </w:t>
      </w:r>
      <w:r w:rsidR="00406E35" w:rsidRPr="000D729C">
        <w:rPr>
          <w:rFonts w:ascii="Times New Roman" w:hAnsi="Times New Roman" w:cs="Times New Roman"/>
          <w:sz w:val="24"/>
          <w:szCs w:val="24"/>
        </w:rPr>
        <w:t>C</w:t>
      </w:r>
      <w:r w:rsidRPr="000D729C">
        <w:rPr>
          <w:rFonts w:ascii="Times New Roman" w:hAnsi="Times New Roman" w:cs="Times New Roman"/>
          <w:sz w:val="24"/>
          <w:szCs w:val="24"/>
        </w:rPr>
        <w:t>apitolul X din Codul rețelelor.</w:t>
      </w:r>
    </w:p>
    <w:p w14:paraId="20C3FAB9" w14:textId="0EE546D2" w:rsidR="00E02869" w:rsidRPr="000D729C" w:rsidRDefault="00E02869" w:rsidP="00E02869">
      <w:pPr>
        <w:pStyle w:val="BodyText"/>
        <w:tabs>
          <w:tab w:val="left" w:pos="426"/>
        </w:tabs>
        <w:spacing w:before="40" w:line="276" w:lineRule="auto"/>
        <w:ind w:firstLine="567"/>
        <w:jc w:val="both"/>
        <w:rPr>
          <w:rFonts w:ascii="Times New Roman" w:hAnsi="Times New Roman" w:cs="Times New Roman"/>
          <w:b/>
          <w:bCs/>
          <w:sz w:val="24"/>
          <w:szCs w:val="24"/>
        </w:rPr>
      </w:pPr>
      <w:r w:rsidRPr="000D729C">
        <w:rPr>
          <w:rFonts w:ascii="Times New Roman" w:hAnsi="Times New Roman" w:cs="Times New Roman"/>
          <w:b/>
          <w:bCs/>
          <w:sz w:val="24"/>
          <w:szCs w:val="24"/>
        </w:rPr>
        <w:t>Indicatori care pot anticipa renunțarea la aplicarea măsurilor provizorii de echilibrare.</w:t>
      </w:r>
    </w:p>
    <w:p w14:paraId="488C6B55" w14:textId="77777777"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Nivelul dezechilibrelor și capacitatea pieței de a acoperi rapid pozițiile de deficit sau excedent.</w:t>
      </w:r>
    </w:p>
    <w:p w14:paraId="39611225" w14:textId="77777777"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Reducerea semnificativă și constantă a volumelor de dezechilibru zilnic;</w:t>
      </w:r>
    </w:p>
    <w:p w14:paraId="129DA639" w14:textId="77777777"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Capacitatea participanților de a regla dezechilibrele prin tranzacții de piață într-un termen scurt;</w:t>
      </w:r>
    </w:p>
    <w:p w14:paraId="69143795" w14:textId="258F7BCC"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Creșterea utilizării instrumentelor de piață (produse intrazilnice);</w:t>
      </w:r>
    </w:p>
    <w:p w14:paraId="51F1AAE4" w14:textId="19BD6B91"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Creșterea numărului de participanți activi și diversificarea acestora;</w:t>
      </w:r>
    </w:p>
    <w:p w14:paraId="7BF52172" w14:textId="77777777"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Participare constantă și stabilă a unui număr sporit de cumpărători și vânzători;</w:t>
      </w:r>
    </w:p>
    <w:p w14:paraId="2CCF304E" w14:textId="7901DBE9"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Reducerea gradului de concentrare a pieței și sporirea competiției reale între participanți;</w:t>
      </w:r>
    </w:p>
    <w:p w14:paraId="3B32FFC3" w14:textId="5C788265"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⁠Îmbunătățirea capacităților tehnice a OST pentru furnizarea informațiilor în format electronic, clar, transparent și accesibil tuturor participanților;</w:t>
      </w:r>
    </w:p>
    <w:p w14:paraId="30F31DD6" w14:textId="2ECD995F" w:rsidR="00E02869" w:rsidRPr="000D729C" w:rsidRDefault="00E02869" w:rsidP="004A17FD">
      <w:pPr>
        <w:pStyle w:val="BodyText"/>
        <w:numPr>
          <w:ilvl w:val="0"/>
          <w:numId w:val="22"/>
        </w:numPr>
        <w:tabs>
          <w:tab w:val="left" w:pos="426"/>
          <w:tab w:val="left" w:pos="990"/>
        </w:tabs>
        <w:spacing w:before="40" w:line="276" w:lineRule="auto"/>
        <w:ind w:left="-90" w:firstLine="720"/>
        <w:jc w:val="both"/>
        <w:rPr>
          <w:rFonts w:ascii="Times New Roman" w:hAnsi="Times New Roman" w:cs="Times New Roman"/>
          <w:sz w:val="24"/>
          <w:szCs w:val="24"/>
        </w:rPr>
      </w:pPr>
      <w:r w:rsidRPr="000D729C">
        <w:rPr>
          <w:rFonts w:ascii="Times New Roman" w:hAnsi="Times New Roman" w:cs="Times New Roman"/>
          <w:sz w:val="24"/>
          <w:szCs w:val="24"/>
        </w:rPr>
        <w:t>⁠Ajustarea și consolidarea cadrului normativ aplicabil pieței de gaze naturale.</w:t>
      </w:r>
    </w:p>
    <w:p w14:paraId="02AD729D" w14:textId="77777777" w:rsidR="000E179C" w:rsidRPr="000D729C" w:rsidRDefault="000E179C" w:rsidP="000E179C">
      <w:pPr>
        <w:pStyle w:val="BodyText"/>
        <w:tabs>
          <w:tab w:val="left" w:pos="426"/>
        </w:tabs>
        <w:spacing w:before="40" w:line="276" w:lineRule="auto"/>
        <w:ind w:firstLine="426"/>
        <w:jc w:val="both"/>
        <w:rPr>
          <w:rFonts w:ascii="Times New Roman" w:hAnsi="Times New Roman" w:cs="Times New Roman"/>
          <w:sz w:val="24"/>
          <w:szCs w:val="24"/>
        </w:rPr>
      </w:pPr>
    </w:p>
    <w:p w14:paraId="531294ED" w14:textId="77777777" w:rsidR="000E179C" w:rsidRPr="000D729C" w:rsidRDefault="000E179C" w:rsidP="004A17FD">
      <w:pPr>
        <w:pStyle w:val="Heading1"/>
        <w:numPr>
          <w:ilvl w:val="1"/>
          <w:numId w:val="9"/>
        </w:numPr>
        <w:tabs>
          <w:tab w:val="left" w:pos="426"/>
          <w:tab w:val="left" w:pos="851"/>
        </w:tabs>
        <w:spacing w:line="276" w:lineRule="auto"/>
        <w:ind w:left="0" w:firstLine="0"/>
        <w:rPr>
          <w:rFonts w:ascii="Times New Roman" w:hAnsi="Times New Roman" w:cs="Times New Roman"/>
          <w:sz w:val="24"/>
          <w:szCs w:val="24"/>
        </w:rPr>
      </w:pPr>
      <w:bookmarkStart w:id="18" w:name="_TOC_250001"/>
      <w:bookmarkStart w:id="19" w:name="_Toc167708309"/>
      <w:r w:rsidRPr="000D729C">
        <w:rPr>
          <w:rFonts w:ascii="Times New Roman" w:hAnsi="Times New Roman" w:cs="Times New Roman"/>
          <w:sz w:val="24"/>
          <w:szCs w:val="24"/>
        </w:rPr>
        <w:t xml:space="preserve">Evaluarea calendarului de punere în aplicare a măsurilor </w:t>
      </w:r>
      <w:bookmarkEnd w:id="18"/>
      <w:r w:rsidRPr="000D729C">
        <w:rPr>
          <w:rFonts w:ascii="Times New Roman" w:hAnsi="Times New Roman" w:cs="Times New Roman"/>
          <w:sz w:val="24"/>
          <w:szCs w:val="24"/>
        </w:rPr>
        <w:t>provizorii</w:t>
      </w:r>
      <w:bookmarkEnd w:id="19"/>
    </w:p>
    <w:p w14:paraId="0AE8222B" w14:textId="77777777" w:rsidR="000E179C" w:rsidRPr="000D729C" w:rsidRDefault="000E179C" w:rsidP="003A04A9">
      <w:pPr>
        <w:pStyle w:val="BodyText"/>
        <w:tabs>
          <w:tab w:val="left" w:pos="426"/>
        </w:tabs>
        <w:spacing w:before="37" w:line="276" w:lineRule="auto"/>
        <w:ind w:firstLine="426"/>
        <w:jc w:val="both"/>
        <w:rPr>
          <w:rFonts w:ascii="Times New Roman" w:hAnsi="Times New Roman" w:cs="Times New Roman"/>
          <w:sz w:val="24"/>
          <w:szCs w:val="24"/>
        </w:rPr>
      </w:pPr>
      <w:r w:rsidRPr="000D729C">
        <w:rPr>
          <w:rFonts w:ascii="Times New Roman" w:hAnsi="Times New Roman" w:cs="Times New Roman"/>
          <w:sz w:val="24"/>
          <w:szCs w:val="24"/>
        </w:rPr>
        <w:t>În conformitate cu pct. 602, Secțiunea 1 și pct. 603, alin. 4, Secțiunea 2, Capitolul X, Codul rețelelor, OST va elimina măsurile provizorii cel târziu la expirarea perioadei de cinci ani de la intrarea în vigoare a Titlului VI din Codul rețelelor (12.12.2030).</w:t>
      </w:r>
    </w:p>
    <w:p w14:paraId="06737C7A" w14:textId="12C02B46" w:rsidR="000E179C" w:rsidRPr="000D729C" w:rsidRDefault="000E179C" w:rsidP="003A04A9">
      <w:pPr>
        <w:pStyle w:val="BodyText"/>
        <w:tabs>
          <w:tab w:val="left" w:pos="426"/>
        </w:tabs>
        <w:spacing w:line="276" w:lineRule="auto"/>
        <w:ind w:firstLine="426"/>
        <w:jc w:val="both"/>
        <w:rPr>
          <w:rFonts w:ascii="Times New Roman" w:hAnsi="Times New Roman" w:cs="Times New Roman"/>
          <w:sz w:val="24"/>
          <w:szCs w:val="24"/>
        </w:rPr>
      </w:pPr>
      <w:r w:rsidRPr="000D729C">
        <w:rPr>
          <w:rFonts w:ascii="Times New Roman" w:hAnsi="Times New Roman" w:cs="Times New Roman"/>
          <w:sz w:val="24"/>
          <w:szCs w:val="24"/>
        </w:rPr>
        <w:t>Având</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în</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vedere</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lipsa</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pieței</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angro</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respectiv</w:t>
      </w:r>
      <w:r w:rsidR="00DF2C44" w:rsidRPr="000D729C">
        <w:rPr>
          <w:rFonts w:ascii="Times New Roman" w:hAnsi="Times New Roman" w:cs="Times New Roman"/>
          <w:sz w:val="24"/>
          <w:szCs w:val="24"/>
        </w:rPr>
        <w:t xml:space="preserve"> și a </w:t>
      </w:r>
      <w:r w:rsidRPr="000D729C">
        <w:rPr>
          <w:rFonts w:ascii="Times New Roman" w:hAnsi="Times New Roman" w:cs="Times New Roman"/>
          <w:sz w:val="24"/>
          <w:szCs w:val="24"/>
        </w:rPr>
        <w:t>lichidității</w:t>
      </w:r>
      <w:r w:rsidRPr="000D729C">
        <w:rPr>
          <w:rFonts w:ascii="Times New Roman" w:hAnsi="Times New Roman" w:cs="Times New Roman"/>
          <w:w w:val="150"/>
          <w:sz w:val="24"/>
          <w:szCs w:val="24"/>
        </w:rPr>
        <w:t xml:space="preserve"> </w:t>
      </w:r>
      <w:r w:rsidRPr="000D729C">
        <w:rPr>
          <w:rFonts w:ascii="Times New Roman" w:hAnsi="Times New Roman" w:cs="Times New Roman"/>
          <w:sz w:val="24"/>
          <w:szCs w:val="24"/>
        </w:rPr>
        <w:t xml:space="preserve">acesteia, „Vestmoldtransgaz” </w:t>
      </w:r>
      <w:r w:rsidR="00BF6E82" w:rsidRPr="000D729C">
        <w:rPr>
          <w:rFonts w:ascii="Times New Roman" w:hAnsi="Times New Roman" w:cs="Times New Roman"/>
          <w:sz w:val="24"/>
          <w:szCs w:val="24"/>
        </w:rPr>
        <w:t xml:space="preserve">S.R.L. </w:t>
      </w:r>
      <w:r w:rsidRPr="000D729C">
        <w:rPr>
          <w:rFonts w:ascii="Times New Roman" w:hAnsi="Times New Roman" w:cs="Times New Roman"/>
          <w:sz w:val="24"/>
          <w:szCs w:val="24"/>
        </w:rPr>
        <w:t>va aplica măsurile provizorii necesare pe durata prevăzută în Codul rețelelor.</w:t>
      </w:r>
    </w:p>
    <w:p w14:paraId="177B1848" w14:textId="11BBA4B0" w:rsidR="000E179C" w:rsidRPr="000D729C" w:rsidRDefault="000E179C" w:rsidP="003A04A9">
      <w:pPr>
        <w:pStyle w:val="BodyText"/>
        <w:tabs>
          <w:tab w:val="left" w:pos="426"/>
        </w:tabs>
        <w:spacing w:before="1" w:line="276" w:lineRule="auto"/>
        <w:ind w:firstLine="426"/>
        <w:jc w:val="both"/>
        <w:rPr>
          <w:rFonts w:ascii="Times New Roman" w:hAnsi="Times New Roman" w:cs="Times New Roman"/>
          <w:sz w:val="24"/>
          <w:szCs w:val="24"/>
        </w:rPr>
      </w:pPr>
      <w:r w:rsidRPr="000D729C">
        <w:rPr>
          <w:rFonts w:ascii="Times New Roman" w:hAnsi="Times New Roman" w:cs="Times New Roman"/>
          <w:sz w:val="24"/>
          <w:szCs w:val="24"/>
        </w:rPr>
        <w:t xml:space="preserve">În scopul evaluării conformității măsurilor de punere în aplicare a Codului rețelelor și a aplicării măsurilor provizorii și pentru determinarea următoarelor etape de eliminare a măsurilor provizorii, OST va prezenta </w:t>
      </w:r>
      <w:r w:rsidR="00440D78" w:rsidRPr="000D729C">
        <w:rPr>
          <w:rFonts w:ascii="Times New Roman" w:hAnsi="Times New Roman" w:cs="Times New Roman"/>
          <w:sz w:val="24"/>
          <w:szCs w:val="24"/>
        </w:rPr>
        <w:t xml:space="preserve">la ANRE </w:t>
      </w:r>
      <w:r w:rsidR="00964D45" w:rsidRPr="000D729C">
        <w:rPr>
          <w:rFonts w:ascii="Times New Roman" w:hAnsi="Times New Roman" w:cs="Times New Roman"/>
          <w:sz w:val="24"/>
          <w:szCs w:val="24"/>
        </w:rPr>
        <w:t>lunar</w:t>
      </w:r>
      <w:r w:rsidR="00440D78" w:rsidRPr="000D729C">
        <w:rPr>
          <w:rFonts w:ascii="Times New Roman" w:hAnsi="Times New Roman" w:cs="Times New Roman"/>
          <w:sz w:val="24"/>
          <w:szCs w:val="24"/>
        </w:rPr>
        <w:t xml:space="preserve">, până la data de </w:t>
      </w:r>
      <w:r w:rsidR="002C4653" w:rsidRPr="000D729C">
        <w:rPr>
          <w:rFonts w:ascii="Times New Roman" w:hAnsi="Times New Roman" w:cs="Times New Roman"/>
          <w:sz w:val="24"/>
          <w:szCs w:val="24"/>
        </w:rPr>
        <w:t>28</w:t>
      </w:r>
      <w:r w:rsidR="00AA4586" w:rsidRPr="000D729C">
        <w:rPr>
          <w:rFonts w:ascii="Times New Roman" w:hAnsi="Times New Roman" w:cs="Times New Roman"/>
          <w:sz w:val="24"/>
          <w:szCs w:val="24"/>
        </w:rPr>
        <w:t>,</w:t>
      </w:r>
      <w:r w:rsidRPr="000D729C">
        <w:rPr>
          <w:rFonts w:ascii="Times New Roman" w:hAnsi="Times New Roman" w:cs="Times New Roman"/>
          <w:sz w:val="24"/>
          <w:szCs w:val="24"/>
        </w:rPr>
        <w:t xml:space="preserve"> </w:t>
      </w:r>
      <w:r w:rsidR="002C4653" w:rsidRPr="000D729C">
        <w:rPr>
          <w:rFonts w:ascii="Times New Roman" w:hAnsi="Times New Roman" w:cs="Times New Roman"/>
          <w:sz w:val="24"/>
          <w:szCs w:val="24"/>
        </w:rPr>
        <w:t xml:space="preserve">Raportul </w:t>
      </w:r>
      <w:r w:rsidRPr="000D729C">
        <w:rPr>
          <w:rFonts w:ascii="Times New Roman" w:hAnsi="Times New Roman" w:cs="Times New Roman"/>
          <w:sz w:val="24"/>
          <w:szCs w:val="24"/>
        </w:rPr>
        <w:t>privind activitatea de echilibrare</w:t>
      </w:r>
      <w:r w:rsidR="00440D78" w:rsidRPr="000D729C">
        <w:rPr>
          <w:rFonts w:ascii="Times New Roman" w:hAnsi="Times New Roman" w:cs="Times New Roman"/>
          <w:sz w:val="24"/>
          <w:szCs w:val="24"/>
        </w:rPr>
        <w:t xml:space="preserve"> pentru luna precedentă</w:t>
      </w:r>
      <w:r w:rsidRPr="000D729C">
        <w:rPr>
          <w:rFonts w:ascii="Times New Roman" w:hAnsi="Times New Roman" w:cs="Times New Roman"/>
          <w:sz w:val="24"/>
          <w:szCs w:val="24"/>
        </w:rPr>
        <w:t xml:space="preserve">. </w:t>
      </w:r>
    </w:p>
    <w:p w14:paraId="685F5254" w14:textId="2CF20FFD" w:rsidR="000E179C" w:rsidRPr="000D729C" w:rsidRDefault="000E179C" w:rsidP="003A04A9">
      <w:pPr>
        <w:pStyle w:val="2"/>
        <w:shd w:val="clear" w:color="auto" w:fill="auto"/>
        <w:spacing w:before="0" w:after="60" w:line="276" w:lineRule="auto"/>
        <w:ind w:left="20" w:right="20" w:firstLine="426"/>
        <w:jc w:val="both"/>
        <w:rPr>
          <w:rFonts w:ascii="Times New Roman" w:eastAsia="Times New Roman" w:hAnsi="Times New Roman" w:cs="Times New Roman"/>
          <w:kern w:val="0"/>
          <w:sz w:val="24"/>
          <w:szCs w:val="24"/>
          <w14:ligatures w14:val="none"/>
        </w:rPr>
      </w:pPr>
      <w:r w:rsidRPr="000D729C" w:rsidDel="00BD2B2E">
        <w:rPr>
          <w:rFonts w:ascii="Times New Roman" w:eastAsia="Times New Roman" w:hAnsi="Times New Roman" w:cs="Times New Roman"/>
          <w:kern w:val="0"/>
          <w:sz w:val="24"/>
          <w:szCs w:val="24"/>
          <w14:ligatures w14:val="none"/>
        </w:rPr>
        <w:t>„Vestmoldtransgaz” S</w:t>
      </w:r>
      <w:r w:rsidR="00BF6E82" w:rsidRPr="000D729C" w:rsidDel="00BD2B2E">
        <w:rPr>
          <w:rFonts w:ascii="Times New Roman" w:eastAsia="Times New Roman" w:hAnsi="Times New Roman" w:cs="Times New Roman"/>
          <w:kern w:val="0"/>
          <w:sz w:val="24"/>
          <w:szCs w:val="24"/>
          <w14:ligatures w14:val="none"/>
        </w:rPr>
        <w:t>.</w:t>
      </w:r>
      <w:r w:rsidRPr="000D729C" w:rsidDel="00BD2B2E">
        <w:rPr>
          <w:rFonts w:ascii="Times New Roman" w:eastAsia="Times New Roman" w:hAnsi="Times New Roman" w:cs="Times New Roman"/>
          <w:kern w:val="0"/>
          <w:sz w:val="24"/>
          <w:szCs w:val="24"/>
          <w14:ligatures w14:val="none"/>
        </w:rPr>
        <w:t>R</w:t>
      </w:r>
      <w:r w:rsidR="00BF6E82" w:rsidRPr="000D729C" w:rsidDel="00BD2B2E">
        <w:rPr>
          <w:rFonts w:ascii="Times New Roman" w:eastAsia="Times New Roman" w:hAnsi="Times New Roman" w:cs="Times New Roman"/>
          <w:kern w:val="0"/>
          <w:sz w:val="24"/>
          <w:szCs w:val="24"/>
          <w14:ligatures w14:val="none"/>
        </w:rPr>
        <w:t>.</w:t>
      </w:r>
      <w:r w:rsidRPr="000D729C" w:rsidDel="00BD2B2E">
        <w:rPr>
          <w:rFonts w:ascii="Times New Roman" w:eastAsia="Times New Roman" w:hAnsi="Times New Roman" w:cs="Times New Roman"/>
          <w:kern w:val="0"/>
          <w:sz w:val="24"/>
          <w:szCs w:val="24"/>
          <w14:ligatures w14:val="none"/>
        </w:rPr>
        <w:t>L</w:t>
      </w:r>
      <w:r w:rsidR="00BF6E82" w:rsidRPr="000D729C" w:rsidDel="00BD2B2E">
        <w:rPr>
          <w:rFonts w:ascii="Times New Roman" w:eastAsia="Times New Roman" w:hAnsi="Times New Roman" w:cs="Times New Roman"/>
          <w:kern w:val="0"/>
          <w:sz w:val="24"/>
          <w:szCs w:val="24"/>
          <w14:ligatures w14:val="none"/>
        </w:rPr>
        <w:t>.</w:t>
      </w:r>
      <w:r w:rsidRPr="000D729C" w:rsidDel="00BD2B2E">
        <w:rPr>
          <w:rFonts w:ascii="Times New Roman" w:eastAsia="Times New Roman" w:hAnsi="Times New Roman" w:cs="Times New Roman"/>
          <w:kern w:val="0"/>
          <w:sz w:val="24"/>
          <w:szCs w:val="24"/>
          <w14:ligatures w14:val="none"/>
        </w:rPr>
        <w:t xml:space="preserve"> va efectua anual о evaluare a efectelor la nivel individual a</w:t>
      </w:r>
      <w:r w:rsidR="00DF2C44" w:rsidRPr="000D729C" w:rsidDel="00BD2B2E">
        <w:rPr>
          <w:rFonts w:ascii="Times New Roman" w:eastAsia="Times New Roman" w:hAnsi="Times New Roman" w:cs="Times New Roman"/>
          <w:kern w:val="0"/>
          <w:sz w:val="24"/>
          <w:szCs w:val="24"/>
          <w14:ligatures w14:val="none"/>
        </w:rPr>
        <w:t>le</w:t>
      </w:r>
      <w:r w:rsidRPr="000D729C" w:rsidDel="00BD2B2E">
        <w:rPr>
          <w:rFonts w:ascii="Times New Roman" w:eastAsia="Times New Roman" w:hAnsi="Times New Roman" w:cs="Times New Roman"/>
          <w:kern w:val="0"/>
          <w:sz w:val="24"/>
          <w:szCs w:val="24"/>
          <w14:ligatures w14:val="none"/>
        </w:rPr>
        <w:t xml:space="preserve"> măsurilor provizorii implementate, precum și a condițiilor în care acestea au fost aplicate. Rezultatele acestei evaluări vor fi prezentate ANRE, în conformitate cu Secțiunea 2 din </w:t>
      </w:r>
      <w:r w:rsidRPr="000D729C" w:rsidDel="00BD2B2E">
        <w:rPr>
          <w:rFonts w:ascii="Times New Roman" w:hAnsi="Times New Roman" w:cs="Times New Roman"/>
          <w:sz w:val="24"/>
          <w:szCs w:val="24"/>
        </w:rPr>
        <w:t>Codul rețelelor</w:t>
      </w:r>
      <w:r w:rsidRPr="000D729C" w:rsidDel="00BD2B2E">
        <w:rPr>
          <w:rFonts w:ascii="Times New Roman" w:eastAsia="Times New Roman" w:hAnsi="Times New Roman" w:cs="Times New Roman"/>
          <w:kern w:val="0"/>
          <w:sz w:val="24"/>
          <w:szCs w:val="24"/>
          <w14:ligatures w14:val="none"/>
        </w:rPr>
        <w:t>.</w:t>
      </w:r>
    </w:p>
    <w:p w14:paraId="46AC8719" w14:textId="77777777" w:rsidR="00ED1B5D" w:rsidRPr="000D729C" w:rsidDel="00BD2B2E" w:rsidRDefault="00ED1B5D" w:rsidP="00B1546B">
      <w:pPr>
        <w:pStyle w:val="2"/>
        <w:shd w:val="clear" w:color="auto" w:fill="auto"/>
        <w:spacing w:before="0" w:after="60" w:line="276" w:lineRule="auto"/>
        <w:ind w:left="20" w:right="20" w:firstLine="567"/>
        <w:jc w:val="both"/>
        <w:rPr>
          <w:rFonts w:ascii="Times New Roman" w:eastAsia="Times New Roman" w:hAnsi="Times New Roman" w:cs="Times New Roman"/>
          <w:kern w:val="0"/>
          <w:sz w:val="24"/>
          <w:szCs w:val="24"/>
          <w14:ligatures w14:val="none"/>
        </w:rPr>
      </w:pPr>
    </w:p>
    <w:p w14:paraId="3C64AF32" w14:textId="77777777" w:rsidR="000E179C" w:rsidRPr="000D729C" w:rsidRDefault="000E179C" w:rsidP="004A17FD">
      <w:pPr>
        <w:pStyle w:val="Heading1"/>
        <w:numPr>
          <w:ilvl w:val="1"/>
          <w:numId w:val="9"/>
        </w:numPr>
        <w:tabs>
          <w:tab w:val="left" w:pos="426"/>
          <w:tab w:val="left" w:pos="851"/>
        </w:tabs>
        <w:spacing w:line="276" w:lineRule="auto"/>
        <w:ind w:left="0" w:firstLine="0"/>
        <w:rPr>
          <w:rFonts w:ascii="Times New Roman" w:hAnsi="Times New Roman" w:cs="Times New Roman"/>
          <w:sz w:val="24"/>
          <w:szCs w:val="24"/>
        </w:rPr>
      </w:pPr>
      <w:bookmarkStart w:id="20" w:name="_TOC_250000"/>
      <w:bookmarkStart w:id="21" w:name="_Toc167708310"/>
      <w:r w:rsidRPr="000D729C">
        <w:rPr>
          <w:rFonts w:ascii="Times New Roman" w:hAnsi="Times New Roman" w:cs="Times New Roman"/>
          <w:sz w:val="24"/>
          <w:szCs w:val="24"/>
        </w:rPr>
        <w:t xml:space="preserve">Criteriile utilizate pentru stabilirea măsurilor </w:t>
      </w:r>
      <w:bookmarkEnd w:id="20"/>
      <w:r w:rsidRPr="000D729C">
        <w:rPr>
          <w:rFonts w:ascii="Times New Roman" w:hAnsi="Times New Roman" w:cs="Times New Roman"/>
          <w:sz w:val="24"/>
          <w:szCs w:val="24"/>
        </w:rPr>
        <w:t>provizorii</w:t>
      </w:r>
      <w:bookmarkEnd w:id="21"/>
    </w:p>
    <w:p w14:paraId="7DA1D56C" w14:textId="0A8C28C6" w:rsidR="000E179C" w:rsidRPr="000D729C" w:rsidRDefault="000E179C" w:rsidP="00251A69">
      <w:pPr>
        <w:pStyle w:val="BodyText"/>
        <w:tabs>
          <w:tab w:val="left" w:pos="709"/>
        </w:tabs>
        <w:spacing w:line="276" w:lineRule="auto"/>
        <w:ind w:firstLine="426"/>
        <w:jc w:val="both"/>
        <w:rPr>
          <w:rFonts w:ascii="Times New Roman" w:hAnsi="Times New Roman" w:cs="Times New Roman"/>
          <w:sz w:val="24"/>
          <w:szCs w:val="24"/>
        </w:rPr>
      </w:pPr>
      <w:r w:rsidRPr="000D729C">
        <w:rPr>
          <w:rFonts w:ascii="Times New Roman" w:hAnsi="Times New Roman" w:cs="Times New Roman"/>
          <w:sz w:val="24"/>
          <w:szCs w:val="24"/>
        </w:rPr>
        <w:t xml:space="preserve">Criteriile utilizate pentru stabilirea măsurilor provizorii rezultă din cadrul juridic de reglementare, complexitatea acestora raportată la practicile altor state cu experiență similară, </w:t>
      </w:r>
      <w:r w:rsidR="00DF2C44" w:rsidRPr="000D729C">
        <w:rPr>
          <w:rFonts w:ascii="Times New Roman" w:hAnsi="Times New Roman" w:cs="Times New Roman"/>
          <w:sz w:val="24"/>
          <w:szCs w:val="24"/>
        </w:rPr>
        <w:t xml:space="preserve">inclusiv din acțiunile preconizate și care trebuie întreprinse </w:t>
      </w:r>
      <w:r w:rsidRPr="000D729C">
        <w:rPr>
          <w:rFonts w:ascii="Times New Roman" w:hAnsi="Times New Roman" w:cs="Times New Roman"/>
          <w:sz w:val="24"/>
          <w:szCs w:val="24"/>
        </w:rPr>
        <w:t>în scopul creării și creșterii lichidității pieței pe termen scurt.</w:t>
      </w:r>
    </w:p>
    <w:p w14:paraId="44857C48" w14:textId="77777777" w:rsidR="000E179C" w:rsidRPr="000D729C" w:rsidRDefault="000E179C" w:rsidP="00251A69">
      <w:pPr>
        <w:pStyle w:val="2"/>
        <w:shd w:val="clear" w:color="auto" w:fill="auto"/>
        <w:spacing w:before="0" w:line="276" w:lineRule="auto"/>
        <w:ind w:left="20" w:right="20" w:firstLine="406"/>
        <w:jc w:val="both"/>
        <w:rPr>
          <w:rFonts w:ascii="Times New Roman" w:eastAsia="Times New Roman" w:hAnsi="Times New Roman" w:cs="Times New Roman"/>
          <w:kern w:val="0"/>
          <w:sz w:val="24"/>
          <w:szCs w:val="24"/>
          <w14:ligatures w14:val="none"/>
        </w:rPr>
      </w:pPr>
      <w:r w:rsidRPr="000D729C">
        <w:rPr>
          <w:rFonts w:ascii="Times New Roman" w:eastAsia="Times New Roman" w:hAnsi="Times New Roman" w:cs="Times New Roman"/>
          <w:kern w:val="0"/>
          <w:sz w:val="24"/>
          <w:szCs w:val="24"/>
          <w14:ligatures w14:val="none"/>
        </w:rPr>
        <w:t>„Vestmoldtransgaz” S.R.L. a analizat principalii factori cu influență pozitivă în creșterea gradului de lichiditate al pieței angro a gazelor naturale din Republica Moldova.</w:t>
      </w:r>
    </w:p>
    <w:p w14:paraId="51EE1FF7" w14:textId="77777777" w:rsidR="000E179C" w:rsidRPr="000D729C" w:rsidRDefault="000E179C" w:rsidP="00251A69">
      <w:pPr>
        <w:pStyle w:val="2"/>
        <w:spacing w:before="0" w:line="276" w:lineRule="auto"/>
        <w:ind w:left="20" w:right="20" w:firstLine="40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Criteriile principale avute în vedere includ:</w:t>
      </w:r>
    </w:p>
    <w:p w14:paraId="374D1B07"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Conformitatea cu cadrul normativ național și european, în special cu prevederile Codului rețelelor și reglementările emise de ANRE;</w:t>
      </w:r>
    </w:p>
    <w:p w14:paraId="24129C48"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lastRenderedPageBreak/>
        <w:t>Gradul actual de dezvoltare al pieței interne a gazelor naturale, respectiv nivelul de participare al actorilor economici și volumul tranzacțiilor înregistrate;</w:t>
      </w:r>
    </w:p>
    <w:p w14:paraId="79024D98"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Impactul potențial asupra lichidității și competitivității pieței angro;</w:t>
      </w:r>
    </w:p>
    <w:p w14:paraId="6867BF72"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Capacitatea infrastructurii și a mecanismelor existente de a susține măsurile propuse, fără a afecta echilibrul operațional al pieței;</w:t>
      </w:r>
    </w:p>
    <w:p w14:paraId="6F2862BC"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Costurile administrative, tehnologice și de implementare aferente creării unei noi platforme;</w:t>
      </w:r>
    </w:p>
    <w:p w14:paraId="7B60BCD5"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Experiența altor state din regiune (România, Ungaria, Polonia) privind dezvoltarea platformelor de echilibrare, raportată la nivelul de maturitate al pieței;</w:t>
      </w:r>
    </w:p>
    <w:p w14:paraId="49391F01" w14:textId="77777777" w:rsidR="000E179C" w:rsidRPr="000D729C" w:rsidRDefault="000E179C" w:rsidP="004A17FD">
      <w:pPr>
        <w:pStyle w:val="2"/>
        <w:numPr>
          <w:ilvl w:val="0"/>
          <w:numId w:val="13"/>
        </w:numPr>
        <w:tabs>
          <w:tab w:val="left" w:pos="709"/>
          <w:tab w:val="left" w:pos="993"/>
        </w:tabs>
        <w:spacing w:before="0" w:line="276" w:lineRule="auto"/>
        <w:ind w:left="0" w:right="20" w:firstLine="426"/>
        <w:jc w:val="both"/>
        <w:rPr>
          <w:rFonts w:ascii="Times New Roman" w:eastAsia="Times New Roman" w:hAnsi="Times New Roman" w:cs="Times New Roman"/>
          <w:sz w:val="24"/>
          <w:szCs w:val="24"/>
          <w14:ligatures w14:val="none"/>
        </w:rPr>
      </w:pPr>
      <w:r w:rsidRPr="000D729C">
        <w:rPr>
          <w:rFonts w:ascii="Times New Roman" w:eastAsia="Times New Roman" w:hAnsi="Times New Roman" w:cs="Times New Roman"/>
          <w:sz w:val="24"/>
          <w:szCs w:val="24"/>
          <w14:ligatures w14:val="none"/>
        </w:rPr>
        <w:t>Posibilitatea integrării și interoperabilității cu platformele existente, evitând astfel fragmentarea și dublarea mecanismelor de tranzacționare.</w:t>
      </w:r>
    </w:p>
    <w:p w14:paraId="2F674B4C" w14:textId="77777777" w:rsidR="000E179C" w:rsidRPr="004E5B2F" w:rsidRDefault="000E179C" w:rsidP="00BF6E82">
      <w:pPr>
        <w:pStyle w:val="2"/>
        <w:shd w:val="clear" w:color="auto" w:fill="auto"/>
        <w:spacing w:before="0" w:after="240" w:line="276" w:lineRule="auto"/>
        <w:ind w:left="426" w:right="20" w:hanging="153"/>
        <w:jc w:val="both"/>
        <w:rPr>
          <w:rFonts w:ascii="Times New Roman" w:eastAsia="Times New Roman" w:hAnsi="Times New Roman" w:cs="Times New Roman"/>
          <w:kern w:val="0"/>
          <w:sz w:val="24"/>
          <w:szCs w:val="24"/>
          <w14:ligatures w14:val="none"/>
        </w:rPr>
      </w:pPr>
    </w:p>
    <w:p w14:paraId="5FBDEE1A" w14:textId="77777777" w:rsidR="00941EDF" w:rsidRPr="004E5B2F" w:rsidRDefault="00941EDF" w:rsidP="00BF6E82">
      <w:pPr>
        <w:ind w:hanging="153"/>
        <w:rPr>
          <w:rFonts w:ascii="Times New Roman" w:hAnsi="Times New Roman" w:cs="Times New Roman"/>
        </w:rPr>
      </w:pPr>
    </w:p>
    <w:sectPr w:rsidR="00941EDF" w:rsidRPr="004E5B2F" w:rsidSect="00251A69">
      <w:footerReference w:type="default" r:id="rId12"/>
      <w:pgSz w:w="11910" w:h="16840"/>
      <w:pgMar w:top="851" w:right="740" w:bottom="1200" w:left="1701" w:header="794"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C205B" w14:textId="77777777" w:rsidR="007F3DA5" w:rsidRPr="006C134D" w:rsidRDefault="007F3DA5" w:rsidP="000E179C">
      <w:r w:rsidRPr="006C134D">
        <w:separator/>
      </w:r>
    </w:p>
  </w:endnote>
  <w:endnote w:type="continuationSeparator" w:id="0">
    <w:p w14:paraId="199E7A75" w14:textId="77777777" w:rsidR="007F3DA5" w:rsidRPr="006C134D" w:rsidRDefault="007F3DA5" w:rsidP="000E179C">
      <w:r w:rsidRPr="006C13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021587"/>
      <w:docPartObj>
        <w:docPartGallery w:val="Page Numbers (Bottom of Page)"/>
        <w:docPartUnique/>
      </w:docPartObj>
    </w:sdtPr>
    <w:sdtEndPr>
      <w:rPr>
        <w:rFonts w:ascii="Arial Narrow" w:hAnsi="Arial Narrow"/>
        <w:sz w:val="20"/>
        <w:szCs w:val="20"/>
      </w:rPr>
    </w:sdtEndPr>
    <w:sdtContent>
      <w:p w14:paraId="27C00184" w14:textId="67443BA9" w:rsidR="00C97D75" w:rsidRPr="006C134D" w:rsidRDefault="00C97D75">
        <w:pPr>
          <w:pStyle w:val="Footer"/>
          <w:jc w:val="center"/>
          <w:rPr>
            <w:rFonts w:ascii="Arial Narrow" w:hAnsi="Arial Narrow"/>
            <w:sz w:val="20"/>
            <w:szCs w:val="20"/>
          </w:rPr>
        </w:pPr>
        <w:r w:rsidRPr="006C134D">
          <w:rPr>
            <w:rFonts w:ascii="Arial Narrow" w:hAnsi="Arial Narrow" w:cstheme="minorHAnsi"/>
          </w:rPr>
          <w:fldChar w:fldCharType="begin"/>
        </w:r>
        <w:r w:rsidRPr="006C134D">
          <w:rPr>
            <w:rFonts w:ascii="Arial Narrow" w:hAnsi="Arial Narrow" w:cstheme="minorHAnsi"/>
          </w:rPr>
          <w:instrText xml:space="preserve"> PAGE   \* MERGEFORMAT </w:instrText>
        </w:r>
        <w:r w:rsidRPr="006C134D">
          <w:rPr>
            <w:rFonts w:ascii="Arial Narrow" w:hAnsi="Arial Narrow" w:cstheme="minorHAnsi"/>
          </w:rPr>
          <w:fldChar w:fldCharType="separate"/>
        </w:r>
        <w:r w:rsidR="00B41FB0">
          <w:rPr>
            <w:rFonts w:ascii="Arial Narrow" w:hAnsi="Arial Narrow" w:cstheme="minorHAnsi"/>
            <w:noProof/>
          </w:rPr>
          <w:t>6</w:t>
        </w:r>
        <w:r w:rsidRPr="006C134D">
          <w:rPr>
            <w:rFonts w:ascii="Arial Narrow" w:hAnsi="Arial Narrow" w:cstheme="minorHAnsi"/>
          </w:rPr>
          <w:fldChar w:fldCharType="end"/>
        </w:r>
      </w:p>
    </w:sdtContent>
  </w:sdt>
  <w:p w14:paraId="0C06F402" w14:textId="77777777" w:rsidR="00C97D75" w:rsidRPr="006C134D" w:rsidRDefault="00C97D7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3D352" w14:textId="77777777" w:rsidR="007F3DA5" w:rsidRPr="006C134D" w:rsidRDefault="007F3DA5" w:rsidP="000E179C">
      <w:r w:rsidRPr="006C134D">
        <w:separator/>
      </w:r>
    </w:p>
  </w:footnote>
  <w:footnote w:type="continuationSeparator" w:id="0">
    <w:p w14:paraId="096E2255" w14:textId="77777777" w:rsidR="007F3DA5" w:rsidRPr="006C134D" w:rsidRDefault="007F3DA5" w:rsidP="000E179C">
      <w:r w:rsidRPr="006C134D">
        <w:continuationSeparator/>
      </w:r>
    </w:p>
  </w:footnote>
  <w:footnote w:id="1">
    <w:p w14:paraId="28C06599" w14:textId="77777777" w:rsidR="00C97D75" w:rsidRPr="006C134D" w:rsidRDefault="00C97D75" w:rsidP="000E179C">
      <w:pPr>
        <w:pStyle w:val="FootnoteText"/>
        <w:rPr>
          <w:rFonts w:ascii="Times New Roman" w:hAnsi="Times New Roman" w:cs="Times New Roman"/>
        </w:rPr>
      </w:pPr>
      <w:r w:rsidRPr="006C134D">
        <w:rPr>
          <w:rStyle w:val="FootnoteReference"/>
          <w:rFonts w:ascii="Times New Roman" w:hAnsi="Times New Roman" w:cs="Times New Roman"/>
        </w:rPr>
        <w:footnoteRef/>
      </w:r>
      <w:r w:rsidRPr="006C134D">
        <w:rPr>
          <w:rFonts w:ascii="Times New Roman" w:hAnsi="Times New Roman" w:cs="Times New Roman"/>
        </w:rPr>
        <w:t xml:space="preserve"> </w:t>
      </w:r>
      <w:hyperlink r:id="rId1" w:history="1">
        <w:r w:rsidRPr="006C134D">
          <w:rPr>
            <w:rStyle w:val="Hyperlink"/>
            <w:rFonts w:ascii="Times New Roman" w:hAnsi="Times New Roman" w:cs="Times New Roman"/>
          </w:rPr>
          <w:t>https://anre.md/index.php/registrul-titularilor-de-autorizatii-3-279</w:t>
        </w:r>
      </w:hyperlink>
      <w:r w:rsidRPr="006C134D">
        <w:rPr>
          <w:rFonts w:ascii="Times New Roman" w:hAnsi="Times New Roman" w:cs="Times New Roman"/>
        </w:rPr>
        <w:t xml:space="preserve"> </w:t>
      </w:r>
    </w:p>
  </w:footnote>
  <w:footnote w:id="2">
    <w:p w14:paraId="7BCA1D19" w14:textId="502B567A" w:rsidR="00C97D75" w:rsidRPr="006F172A" w:rsidRDefault="00C97D75" w:rsidP="00251A69">
      <w:pPr>
        <w:pStyle w:val="FootnoteText"/>
        <w:jc w:val="both"/>
        <w:rPr>
          <w:rFonts w:ascii="Times New Roman" w:hAnsi="Times New Roman" w:cs="Times New Roman"/>
        </w:rPr>
      </w:pPr>
      <w:r w:rsidRPr="006C134D">
        <w:rPr>
          <w:rStyle w:val="FootnoteReference"/>
          <w:rFonts w:ascii="Times New Roman" w:hAnsi="Times New Roman" w:cs="Times New Roman"/>
        </w:rPr>
        <w:footnoteRef/>
      </w:r>
      <w:r w:rsidRPr="006C134D">
        <w:rPr>
          <w:rFonts w:ascii="Times New Roman" w:hAnsi="Times New Roman" w:cs="Times New Roman"/>
        </w:rPr>
        <w:t xml:space="preserve"> Conform Raportului de monitorizare a pieței din sectorul gazelor naturale pentru perioada ianuarie – septembrie 2025 publicat de ANRE.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3A5"/>
    <w:multiLevelType w:val="hybridMultilevel"/>
    <w:tmpl w:val="2668E0A4"/>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 w15:restartNumberingAfterBreak="0">
    <w:nsid w:val="08A543A7"/>
    <w:multiLevelType w:val="hybridMultilevel"/>
    <w:tmpl w:val="41C820CA"/>
    <w:lvl w:ilvl="0" w:tplc="0409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B47D67"/>
    <w:multiLevelType w:val="hybridMultilevel"/>
    <w:tmpl w:val="35707FC4"/>
    <w:lvl w:ilvl="0" w:tplc="6AA4B77E">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9D44F3"/>
    <w:multiLevelType w:val="hybridMultilevel"/>
    <w:tmpl w:val="E7F2EC58"/>
    <w:lvl w:ilvl="0" w:tplc="A3C8B3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DD6CB6"/>
    <w:multiLevelType w:val="hybridMultilevel"/>
    <w:tmpl w:val="6E76458E"/>
    <w:lvl w:ilvl="0" w:tplc="0409000F">
      <w:start w:val="1"/>
      <w:numFmt w:val="decimal"/>
      <w:lvlText w:val="%1."/>
      <w:lvlJc w:val="left"/>
      <w:pPr>
        <w:ind w:left="720" w:hanging="360"/>
      </w:pPr>
      <w:rPr>
        <w:rFonts w:hint="default"/>
      </w:rPr>
    </w:lvl>
    <w:lvl w:ilvl="1" w:tplc="D338A67A">
      <w:start w:val="1"/>
      <w:numFmt w:val="lowerLetter"/>
      <w:lvlText w:val="%2)"/>
      <w:lvlJc w:val="left"/>
      <w:pPr>
        <w:ind w:left="685" w:firstLine="395"/>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226845"/>
    <w:multiLevelType w:val="multilevel"/>
    <w:tmpl w:val="A91868E4"/>
    <w:lvl w:ilvl="0">
      <w:start w:val="4"/>
      <w:numFmt w:val="decimal"/>
      <w:lvlText w:val="%1"/>
      <w:lvlJc w:val="left"/>
      <w:pPr>
        <w:ind w:left="360" w:hanging="360"/>
      </w:pPr>
      <w:rPr>
        <w:rFonts w:hint="default"/>
      </w:rPr>
    </w:lvl>
    <w:lvl w:ilvl="1">
      <w:start w:val="1"/>
      <w:numFmt w:val="decimal"/>
      <w:lvlText w:val="%1.%2"/>
      <w:lvlJc w:val="left"/>
      <w:pPr>
        <w:ind w:left="1665" w:hanging="360"/>
      </w:pPr>
      <w:rPr>
        <w:rFonts w:hint="default"/>
      </w:rPr>
    </w:lvl>
    <w:lvl w:ilvl="2">
      <w:start w:val="1"/>
      <w:numFmt w:val="decimal"/>
      <w:lvlText w:val="%1.%2.%3"/>
      <w:lvlJc w:val="left"/>
      <w:pPr>
        <w:ind w:left="3330" w:hanging="720"/>
      </w:pPr>
      <w:rPr>
        <w:rFonts w:hint="default"/>
        <w:b/>
      </w:rPr>
    </w:lvl>
    <w:lvl w:ilvl="3">
      <w:start w:val="1"/>
      <w:numFmt w:val="decimal"/>
      <w:lvlText w:val="%1.%2.%3.%4"/>
      <w:lvlJc w:val="left"/>
      <w:pPr>
        <w:ind w:left="4635" w:hanging="720"/>
      </w:pPr>
      <w:rPr>
        <w:rFonts w:hint="default"/>
      </w:rPr>
    </w:lvl>
    <w:lvl w:ilvl="4">
      <w:start w:val="1"/>
      <w:numFmt w:val="decimal"/>
      <w:lvlText w:val="%1.%2.%3.%4.%5"/>
      <w:lvlJc w:val="left"/>
      <w:pPr>
        <w:ind w:left="6300" w:hanging="1080"/>
      </w:pPr>
      <w:rPr>
        <w:rFonts w:hint="default"/>
      </w:rPr>
    </w:lvl>
    <w:lvl w:ilvl="5">
      <w:start w:val="1"/>
      <w:numFmt w:val="decimal"/>
      <w:lvlText w:val="%1.%2.%3.%4.%5.%6"/>
      <w:lvlJc w:val="left"/>
      <w:pPr>
        <w:ind w:left="7605" w:hanging="1080"/>
      </w:pPr>
      <w:rPr>
        <w:rFonts w:hint="default"/>
      </w:rPr>
    </w:lvl>
    <w:lvl w:ilvl="6">
      <w:start w:val="1"/>
      <w:numFmt w:val="decimal"/>
      <w:lvlText w:val="%1.%2.%3.%4.%5.%6.%7"/>
      <w:lvlJc w:val="left"/>
      <w:pPr>
        <w:ind w:left="9270" w:hanging="1440"/>
      </w:pPr>
      <w:rPr>
        <w:rFonts w:hint="default"/>
      </w:rPr>
    </w:lvl>
    <w:lvl w:ilvl="7">
      <w:start w:val="1"/>
      <w:numFmt w:val="decimal"/>
      <w:lvlText w:val="%1.%2.%3.%4.%5.%6.%7.%8"/>
      <w:lvlJc w:val="left"/>
      <w:pPr>
        <w:ind w:left="10575" w:hanging="1440"/>
      </w:pPr>
      <w:rPr>
        <w:rFonts w:hint="default"/>
      </w:rPr>
    </w:lvl>
    <w:lvl w:ilvl="8">
      <w:start w:val="1"/>
      <w:numFmt w:val="decimal"/>
      <w:lvlText w:val="%1.%2.%3.%4.%5.%6.%7.%8.%9"/>
      <w:lvlJc w:val="left"/>
      <w:pPr>
        <w:ind w:left="12240" w:hanging="1800"/>
      </w:pPr>
      <w:rPr>
        <w:rFonts w:hint="default"/>
      </w:rPr>
    </w:lvl>
  </w:abstractNum>
  <w:abstractNum w:abstractNumId="6" w15:restartNumberingAfterBreak="0">
    <w:nsid w:val="1E8168B8"/>
    <w:multiLevelType w:val="hybridMultilevel"/>
    <w:tmpl w:val="6B1478B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F931374"/>
    <w:multiLevelType w:val="multilevel"/>
    <w:tmpl w:val="31E0E3C8"/>
    <w:lvl w:ilvl="0">
      <w:start w:val="6"/>
      <w:numFmt w:val="upperRoman"/>
      <w:lvlText w:val="%1."/>
      <w:lvlJc w:val="left"/>
      <w:pPr>
        <w:ind w:left="2591" w:hanging="720"/>
      </w:pPr>
      <w:rPr>
        <w:rFonts w:hint="default"/>
      </w:rPr>
    </w:lvl>
    <w:lvl w:ilvl="1">
      <w:start w:val="1"/>
      <w:numFmt w:val="decimal"/>
      <w:isLgl/>
      <w:lvlText w:val="%1.%2"/>
      <w:lvlJc w:val="left"/>
      <w:pPr>
        <w:ind w:left="2231" w:hanging="360"/>
      </w:pPr>
      <w:rPr>
        <w:rFonts w:hint="default"/>
      </w:rPr>
    </w:lvl>
    <w:lvl w:ilvl="2">
      <w:start w:val="1"/>
      <w:numFmt w:val="decimal"/>
      <w:isLgl/>
      <w:lvlText w:val="%1.%2.%3"/>
      <w:lvlJc w:val="left"/>
      <w:pPr>
        <w:ind w:left="2591" w:hanging="720"/>
      </w:pPr>
      <w:rPr>
        <w:rFonts w:hint="default"/>
      </w:rPr>
    </w:lvl>
    <w:lvl w:ilvl="3">
      <w:start w:val="1"/>
      <w:numFmt w:val="decimal"/>
      <w:isLgl/>
      <w:lvlText w:val="%1.%2.%3.%4"/>
      <w:lvlJc w:val="left"/>
      <w:pPr>
        <w:ind w:left="259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2951" w:hanging="1080"/>
      </w:pPr>
      <w:rPr>
        <w:rFonts w:hint="default"/>
      </w:rPr>
    </w:lvl>
    <w:lvl w:ilvl="6">
      <w:start w:val="1"/>
      <w:numFmt w:val="decimal"/>
      <w:isLgl/>
      <w:lvlText w:val="%1.%2.%3.%4.%5.%6.%7"/>
      <w:lvlJc w:val="left"/>
      <w:pPr>
        <w:ind w:left="3311" w:hanging="1440"/>
      </w:pPr>
      <w:rPr>
        <w:rFonts w:hint="default"/>
      </w:rPr>
    </w:lvl>
    <w:lvl w:ilvl="7">
      <w:start w:val="1"/>
      <w:numFmt w:val="decimal"/>
      <w:isLgl/>
      <w:lvlText w:val="%1.%2.%3.%4.%5.%6.%7.%8"/>
      <w:lvlJc w:val="left"/>
      <w:pPr>
        <w:ind w:left="3311" w:hanging="1440"/>
      </w:pPr>
      <w:rPr>
        <w:rFonts w:hint="default"/>
      </w:rPr>
    </w:lvl>
    <w:lvl w:ilvl="8">
      <w:start w:val="1"/>
      <w:numFmt w:val="decimal"/>
      <w:isLgl/>
      <w:lvlText w:val="%1.%2.%3.%4.%5.%6.%7.%8.%9"/>
      <w:lvlJc w:val="left"/>
      <w:pPr>
        <w:ind w:left="3671" w:hanging="1800"/>
      </w:pPr>
      <w:rPr>
        <w:rFonts w:hint="default"/>
      </w:rPr>
    </w:lvl>
  </w:abstractNum>
  <w:abstractNum w:abstractNumId="8" w15:restartNumberingAfterBreak="0">
    <w:nsid w:val="26E9708F"/>
    <w:multiLevelType w:val="hybridMultilevel"/>
    <w:tmpl w:val="F44CC7F8"/>
    <w:lvl w:ilvl="0" w:tplc="0409000F">
      <w:start w:val="1"/>
      <w:numFmt w:val="decimal"/>
      <w:lvlText w:val="%1."/>
      <w:lvlJc w:val="left"/>
      <w:pPr>
        <w:ind w:left="135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E36746"/>
    <w:multiLevelType w:val="hybridMultilevel"/>
    <w:tmpl w:val="6D3C2EDC"/>
    <w:lvl w:ilvl="0" w:tplc="6EB8F6EC">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D2F6B"/>
    <w:multiLevelType w:val="hybridMultilevel"/>
    <w:tmpl w:val="9B4C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6128C"/>
    <w:multiLevelType w:val="multilevel"/>
    <w:tmpl w:val="7ECCF9B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14383"/>
    <w:multiLevelType w:val="hybridMultilevel"/>
    <w:tmpl w:val="3C783C6E"/>
    <w:lvl w:ilvl="0" w:tplc="A538C42E">
      <w:start w:val="1"/>
      <w:numFmt w:val="decimal"/>
      <w:lvlText w:val="%1)"/>
      <w:lvlJc w:val="left"/>
      <w:pPr>
        <w:ind w:left="1636" w:hanging="360"/>
      </w:pPr>
      <w:rPr>
        <w:rFonts w:ascii="Times New Roman" w:eastAsia="Times New Roman" w:hAnsi="Times New Roman" w:cs="Times New Roman"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15:restartNumberingAfterBreak="0">
    <w:nsid w:val="445947B9"/>
    <w:multiLevelType w:val="hybridMultilevel"/>
    <w:tmpl w:val="7E88B966"/>
    <w:lvl w:ilvl="0" w:tplc="6EB8F6EC">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A7BF8"/>
    <w:multiLevelType w:val="hybridMultilevel"/>
    <w:tmpl w:val="3BDE29AA"/>
    <w:lvl w:ilvl="0" w:tplc="A3C8B3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80E4D28"/>
    <w:multiLevelType w:val="hybridMultilevel"/>
    <w:tmpl w:val="99EECD9A"/>
    <w:lvl w:ilvl="0" w:tplc="6EB8F6EC">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D72D5"/>
    <w:multiLevelType w:val="multilevel"/>
    <w:tmpl w:val="2F507132"/>
    <w:lvl w:ilvl="0">
      <w:start w:val="5"/>
      <w:numFmt w:val="decimal"/>
      <w:lvlText w:val="%1"/>
      <w:lvlJc w:val="left"/>
      <w:pPr>
        <w:ind w:left="1711" w:hanging="406"/>
      </w:pPr>
      <w:rPr>
        <w:rFonts w:hint="default"/>
        <w:lang w:val="ro-RO" w:eastAsia="en-US" w:bidi="ar-SA"/>
      </w:rPr>
    </w:lvl>
    <w:lvl w:ilvl="1">
      <w:start w:val="1"/>
      <w:numFmt w:val="decimal"/>
      <w:lvlText w:val="%1.%2"/>
      <w:lvlJc w:val="left"/>
      <w:pPr>
        <w:ind w:left="1711" w:hanging="406"/>
      </w:pPr>
      <w:rPr>
        <w:rFonts w:asciiTheme="minorHAnsi" w:eastAsia="Times New Roman" w:hAnsiTheme="minorHAnsi" w:cstheme="minorHAnsi" w:hint="default"/>
        <w:b w:val="0"/>
        <w:bCs w:val="0"/>
        <w:i w:val="0"/>
        <w:iCs w:val="0"/>
        <w:w w:val="99"/>
        <w:sz w:val="24"/>
        <w:szCs w:val="24"/>
        <w:lang w:val="ro-RO" w:eastAsia="en-US" w:bidi="ar-SA"/>
      </w:rPr>
    </w:lvl>
    <w:lvl w:ilvl="2">
      <w:start w:val="1"/>
      <w:numFmt w:val="upperRoman"/>
      <w:lvlText w:val="%3."/>
      <w:lvlJc w:val="left"/>
      <w:pPr>
        <w:ind w:left="2318" w:hanging="447"/>
        <w:jc w:val="right"/>
      </w:pPr>
      <w:rPr>
        <w:rFonts w:hint="default"/>
        <w:spacing w:val="-1"/>
        <w:w w:val="99"/>
        <w:lang w:val="ro-RO" w:eastAsia="en-US" w:bidi="ar-SA"/>
      </w:rPr>
    </w:lvl>
    <w:lvl w:ilvl="3">
      <w:numFmt w:val="bullet"/>
      <w:lvlText w:val="•"/>
      <w:lvlJc w:val="left"/>
      <w:pPr>
        <w:ind w:left="4165" w:hanging="447"/>
      </w:pPr>
      <w:rPr>
        <w:rFonts w:hint="default"/>
        <w:lang w:val="ro-RO" w:eastAsia="en-US" w:bidi="ar-SA"/>
      </w:rPr>
    </w:lvl>
    <w:lvl w:ilvl="4">
      <w:numFmt w:val="bullet"/>
      <w:lvlText w:val="•"/>
      <w:lvlJc w:val="left"/>
      <w:pPr>
        <w:ind w:left="5088" w:hanging="447"/>
      </w:pPr>
      <w:rPr>
        <w:rFonts w:hint="default"/>
        <w:lang w:val="ro-RO" w:eastAsia="en-US" w:bidi="ar-SA"/>
      </w:rPr>
    </w:lvl>
    <w:lvl w:ilvl="5">
      <w:numFmt w:val="bullet"/>
      <w:lvlText w:val="•"/>
      <w:lvlJc w:val="left"/>
      <w:pPr>
        <w:ind w:left="6011" w:hanging="447"/>
      </w:pPr>
      <w:rPr>
        <w:rFonts w:hint="default"/>
        <w:lang w:val="ro-RO" w:eastAsia="en-US" w:bidi="ar-SA"/>
      </w:rPr>
    </w:lvl>
    <w:lvl w:ilvl="6">
      <w:numFmt w:val="bullet"/>
      <w:lvlText w:val="•"/>
      <w:lvlJc w:val="left"/>
      <w:pPr>
        <w:ind w:left="6934" w:hanging="447"/>
      </w:pPr>
      <w:rPr>
        <w:rFonts w:hint="default"/>
        <w:lang w:val="ro-RO" w:eastAsia="en-US" w:bidi="ar-SA"/>
      </w:rPr>
    </w:lvl>
    <w:lvl w:ilvl="7">
      <w:numFmt w:val="bullet"/>
      <w:lvlText w:val="•"/>
      <w:lvlJc w:val="left"/>
      <w:pPr>
        <w:ind w:left="7857" w:hanging="447"/>
      </w:pPr>
      <w:rPr>
        <w:rFonts w:hint="default"/>
        <w:lang w:val="ro-RO" w:eastAsia="en-US" w:bidi="ar-SA"/>
      </w:rPr>
    </w:lvl>
    <w:lvl w:ilvl="8">
      <w:numFmt w:val="bullet"/>
      <w:lvlText w:val="•"/>
      <w:lvlJc w:val="left"/>
      <w:pPr>
        <w:ind w:left="8780" w:hanging="447"/>
      </w:pPr>
      <w:rPr>
        <w:rFonts w:hint="default"/>
        <w:lang w:val="ro-RO" w:eastAsia="en-US" w:bidi="ar-SA"/>
      </w:rPr>
    </w:lvl>
  </w:abstractNum>
  <w:abstractNum w:abstractNumId="17" w15:restartNumberingAfterBreak="0">
    <w:nsid w:val="62157A84"/>
    <w:multiLevelType w:val="hybridMultilevel"/>
    <w:tmpl w:val="F568359C"/>
    <w:lvl w:ilvl="0" w:tplc="11DED480">
      <w:start w:val="1"/>
      <w:numFmt w:val="bullet"/>
      <w:lvlText w:val="₋"/>
      <w:lvlJc w:val="left"/>
      <w:pPr>
        <w:ind w:left="1440" w:hanging="360"/>
      </w:pPr>
      <w:rPr>
        <w:rFonts w:ascii="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11DED480">
      <w:start w:val="1"/>
      <w:numFmt w:val="bullet"/>
      <w:lvlText w:val="₋"/>
      <w:lvlJc w:val="left"/>
      <w:pPr>
        <w:ind w:left="3600" w:hanging="360"/>
      </w:pPr>
      <w:rPr>
        <w:rFonts w:ascii="Times New Roman" w:hAnsi="Times New Roman" w:cs="Times New Roman" w:hint="default"/>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D37347"/>
    <w:multiLevelType w:val="hybridMultilevel"/>
    <w:tmpl w:val="E324705A"/>
    <w:lvl w:ilvl="0" w:tplc="AEE8A95A">
      <w:numFmt w:val="bullet"/>
      <w:lvlText w:val="-"/>
      <w:lvlJc w:val="left"/>
      <w:pPr>
        <w:ind w:left="644" w:hanging="360"/>
      </w:pPr>
      <w:rPr>
        <w:rFonts w:ascii="Times New Roman" w:eastAsia="Calibri" w:hAnsi="Times New Roman" w:cs="Times New Roman" w:hint="default"/>
      </w:rPr>
    </w:lvl>
    <w:lvl w:ilvl="1" w:tplc="AE94175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B3038"/>
    <w:multiLevelType w:val="multilevel"/>
    <w:tmpl w:val="388A57A0"/>
    <w:lvl w:ilvl="0">
      <w:start w:val="5"/>
      <w:numFmt w:val="decimal"/>
      <w:lvlText w:val="%1"/>
      <w:lvlJc w:val="left"/>
      <w:pPr>
        <w:ind w:left="360" w:hanging="360"/>
      </w:pPr>
      <w:rPr>
        <w:rFonts w:hint="default"/>
      </w:rPr>
    </w:lvl>
    <w:lvl w:ilvl="1">
      <w:start w:val="1"/>
      <w:numFmt w:val="decimal"/>
      <w:lvlText w:val="%1.%2"/>
      <w:lvlJc w:val="left"/>
      <w:pPr>
        <w:ind w:left="1665"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4635" w:hanging="720"/>
      </w:pPr>
      <w:rPr>
        <w:rFonts w:hint="default"/>
      </w:rPr>
    </w:lvl>
    <w:lvl w:ilvl="4">
      <w:start w:val="1"/>
      <w:numFmt w:val="decimal"/>
      <w:lvlText w:val="%1.%2.%3.%4.%5"/>
      <w:lvlJc w:val="left"/>
      <w:pPr>
        <w:ind w:left="6300" w:hanging="1080"/>
      </w:pPr>
      <w:rPr>
        <w:rFonts w:hint="default"/>
      </w:rPr>
    </w:lvl>
    <w:lvl w:ilvl="5">
      <w:start w:val="1"/>
      <w:numFmt w:val="decimal"/>
      <w:lvlText w:val="%1.%2.%3.%4.%5.%6"/>
      <w:lvlJc w:val="left"/>
      <w:pPr>
        <w:ind w:left="7605" w:hanging="1080"/>
      </w:pPr>
      <w:rPr>
        <w:rFonts w:hint="default"/>
      </w:rPr>
    </w:lvl>
    <w:lvl w:ilvl="6">
      <w:start w:val="1"/>
      <w:numFmt w:val="decimal"/>
      <w:lvlText w:val="%1.%2.%3.%4.%5.%6.%7"/>
      <w:lvlJc w:val="left"/>
      <w:pPr>
        <w:ind w:left="9270" w:hanging="1440"/>
      </w:pPr>
      <w:rPr>
        <w:rFonts w:hint="default"/>
      </w:rPr>
    </w:lvl>
    <w:lvl w:ilvl="7">
      <w:start w:val="1"/>
      <w:numFmt w:val="decimal"/>
      <w:lvlText w:val="%1.%2.%3.%4.%5.%6.%7.%8"/>
      <w:lvlJc w:val="left"/>
      <w:pPr>
        <w:ind w:left="10575" w:hanging="1440"/>
      </w:pPr>
      <w:rPr>
        <w:rFonts w:hint="default"/>
      </w:rPr>
    </w:lvl>
    <w:lvl w:ilvl="8">
      <w:start w:val="1"/>
      <w:numFmt w:val="decimal"/>
      <w:lvlText w:val="%1.%2.%3.%4.%5.%6.%7.%8.%9"/>
      <w:lvlJc w:val="left"/>
      <w:pPr>
        <w:ind w:left="12240" w:hanging="1800"/>
      </w:pPr>
      <w:rPr>
        <w:rFonts w:hint="default"/>
      </w:rPr>
    </w:lvl>
  </w:abstractNum>
  <w:abstractNum w:abstractNumId="20" w15:restartNumberingAfterBreak="0">
    <w:nsid w:val="7224164E"/>
    <w:multiLevelType w:val="hybridMultilevel"/>
    <w:tmpl w:val="C234BF4C"/>
    <w:lvl w:ilvl="0" w:tplc="A3C8B3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78E5396"/>
    <w:multiLevelType w:val="hybridMultilevel"/>
    <w:tmpl w:val="EACE73A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9"/>
  </w:num>
  <w:num w:numId="4">
    <w:abstractNumId w:val="15"/>
  </w:num>
  <w:num w:numId="5">
    <w:abstractNumId w:val="11"/>
  </w:num>
  <w:num w:numId="6">
    <w:abstractNumId w:val="13"/>
  </w:num>
  <w:num w:numId="7">
    <w:abstractNumId w:val="5"/>
  </w:num>
  <w:num w:numId="8">
    <w:abstractNumId w:val="19"/>
  </w:num>
  <w:num w:numId="9">
    <w:abstractNumId w:val="7"/>
  </w:num>
  <w:num w:numId="10">
    <w:abstractNumId w:val="18"/>
  </w:num>
  <w:num w:numId="11">
    <w:abstractNumId w:val="20"/>
  </w:num>
  <w:num w:numId="12">
    <w:abstractNumId w:val="14"/>
  </w:num>
  <w:num w:numId="13">
    <w:abstractNumId w:val="3"/>
  </w:num>
  <w:num w:numId="14">
    <w:abstractNumId w:val="6"/>
  </w:num>
  <w:num w:numId="15">
    <w:abstractNumId w:val="17"/>
  </w:num>
  <w:num w:numId="16">
    <w:abstractNumId w:val="4"/>
  </w:num>
  <w:num w:numId="17">
    <w:abstractNumId w:val="1"/>
  </w:num>
  <w:num w:numId="18">
    <w:abstractNumId w:val="0"/>
  </w:num>
  <w:num w:numId="19">
    <w:abstractNumId w:val="21"/>
  </w:num>
  <w:num w:numId="20">
    <w:abstractNumId w:val="10"/>
  </w:num>
  <w:num w:numId="21">
    <w:abstractNumId w:val="2"/>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179C"/>
    <w:rsid w:val="00011123"/>
    <w:rsid w:val="000111D8"/>
    <w:rsid w:val="00025040"/>
    <w:rsid w:val="00033B93"/>
    <w:rsid w:val="000441C2"/>
    <w:rsid w:val="0004731F"/>
    <w:rsid w:val="00055A1A"/>
    <w:rsid w:val="000650E2"/>
    <w:rsid w:val="00071145"/>
    <w:rsid w:val="0007180B"/>
    <w:rsid w:val="0008561B"/>
    <w:rsid w:val="000913E1"/>
    <w:rsid w:val="000B28CE"/>
    <w:rsid w:val="000D6B5D"/>
    <w:rsid w:val="000D729C"/>
    <w:rsid w:val="000E179C"/>
    <w:rsid w:val="000F6186"/>
    <w:rsid w:val="00105063"/>
    <w:rsid w:val="001209AB"/>
    <w:rsid w:val="0012201F"/>
    <w:rsid w:val="00125FCC"/>
    <w:rsid w:val="0014003E"/>
    <w:rsid w:val="00143536"/>
    <w:rsid w:val="001550BE"/>
    <w:rsid w:val="001724F9"/>
    <w:rsid w:val="001737AC"/>
    <w:rsid w:val="001776E3"/>
    <w:rsid w:val="001821F6"/>
    <w:rsid w:val="00185A5E"/>
    <w:rsid w:val="00191216"/>
    <w:rsid w:val="001A42EE"/>
    <w:rsid w:val="001A5C68"/>
    <w:rsid w:val="001B2257"/>
    <w:rsid w:val="001B2807"/>
    <w:rsid w:val="001D7955"/>
    <w:rsid w:val="001F6D6E"/>
    <w:rsid w:val="00204041"/>
    <w:rsid w:val="0020433D"/>
    <w:rsid w:val="00223FB8"/>
    <w:rsid w:val="00251A69"/>
    <w:rsid w:val="0026009C"/>
    <w:rsid w:val="002723DB"/>
    <w:rsid w:val="00295720"/>
    <w:rsid w:val="002B1AD3"/>
    <w:rsid w:val="002B48C0"/>
    <w:rsid w:val="002C4653"/>
    <w:rsid w:val="002C505E"/>
    <w:rsid w:val="002D3AB0"/>
    <w:rsid w:val="002F779F"/>
    <w:rsid w:val="003031E5"/>
    <w:rsid w:val="00321580"/>
    <w:rsid w:val="00323BBA"/>
    <w:rsid w:val="003340C6"/>
    <w:rsid w:val="0036227F"/>
    <w:rsid w:val="00381349"/>
    <w:rsid w:val="00382EF3"/>
    <w:rsid w:val="0039782C"/>
    <w:rsid w:val="003A04A9"/>
    <w:rsid w:val="003C7485"/>
    <w:rsid w:val="003E4B91"/>
    <w:rsid w:val="003F76FE"/>
    <w:rsid w:val="0040285C"/>
    <w:rsid w:val="00406E35"/>
    <w:rsid w:val="00431A09"/>
    <w:rsid w:val="004362D3"/>
    <w:rsid w:val="00440D78"/>
    <w:rsid w:val="0044492F"/>
    <w:rsid w:val="004675F9"/>
    <w:rsid w:val="00471BCF"/>
    <w:rsid w:val="004A17FD"/>
    <w:rsid w:val="004D338D"/>
    <w:rsid w:val="004E5B2F"/>
    <w:rsid w:val="004F4030"/>
    <w:rsid w:val="00500C39"/>
    <w:rsid w:val="00512FBD"/>
    <w:rsid w:val="00516B57"/>
    <w:rsid w:val="005355A2"/>
    <w:rsid w:val="00537693"/>
    <w:rsid w:val="0054615E"/>
    <w:rsid w:val="005517A6"/>
    <w:rsid w:val="0055310E"/>
    <w:rsid w:val="00571FEC"/>
    <w:rsid w:val="005A76E1"/>
    <w:rsid w:val="005A7D41"/>
    <w:rsid w:val="005B5989"/>
    <w:rsid w:val="005B7FF7"/>
    <w:rsid w:val="005D4DC5"/>
    <w:rsid w:val="005F60BB"/>
    <w:rsid w:val="00600430"/>
    <w:rsid w:val="00621918"/>
    <w:rsid w:val="006233DA"/>
    <w:rsid w:val="00625C7E"/>
    <w:rsid w:val="0063593B"/>
    <w:rsid w:val="00660C90"/>
    <w:rsid w:val="00674591"/>
    <w:rsid w:val="00691FDA"/>
    <w:rsid w:val="00695A4F"/>
    <w:rsid w:val="006B0531"/>
    <w:rsid w:val="006B4094"/>
    <w:rsid w:val="006B4AFD"/>
    <w:rsid w:val="006C134D"/>
    <w:rsid w:val="006C69C4"/>
    <w:rsid w:val="006D088A"/>
    <w:rsid w:val="006E0F77"/>
    <w:rsid w:val="006F172A"/>
    <w:rsid w:val="006F27B5"/>
    <w:rsid w:val="00704A47"/>
    <w:rsid w:val="00705442"/>
    <w:rsid w:val="00711FB3"/>
    <w:rsid w:val="007134AB"/>
    <w:rsid w:val="00732500"/>
    <w:rsid w:val="00742161"/>
    <w:rsid w:val="00743A6F"/>
    <w:rsid w:val="00746CC9"/>
    <w:rsid w:val="00761797"/>
    <w:rsid w:val="00774ACC"/>
    <w:rsid w:val="00774E6D"/>
    <w:rsid w:val="00782102"/>
    <w:rsid w:val="00786E2A"/>
    <w:rsid w:val="007C5745"/>
    <w:rsid w:val="007D7A64"/>
    <w:rsid w:val="007E0CBA"/>
    <w:rsid w:val="007E17BD"/>
    <w:rsid w:val="007E2F20"/>
    <w:rsid w:val="007E6295"/>
    <w:rsid w:val="007F3DA5"/>
    <w:rsid w:val="008270DE"/>
    <w:rsid w:val="0083347C"/>
    <w:rsid w:val="00866750"/>
    <w:rsid w:val="008707EF"/>
    <w:rsid w:val="008A12BA"/>
    <w:rsid w:val="008A4026"/>
    <w:rsid w:val="008C74BB"/>
    <w:rsid w:val="008D18B1"/>
    <w:rsid w:val="008D54CE"/>
    <w:rsid w:val="008D7306"/>
    <w:rsid w:val="008E1416"/>
    <w:rsid w:val="008E2801"/>
    <w:rsid w:val="0090220B"/>
    <w:rsid w:val="00904BAA"/>
    <w:rsid w:val="00941EDF"/>
    <w:rsid w:val="00964D45"/>
    <w:rsid w:val="00985FD4"/>
    <w:rsid w:val="0099516C"/>
    <w:rsid w:val="00997C6C"/>
    <w:rsid w:val="009B6CB2"/>
    <w:rsid w:val="009C4CA6"/>
    <w:rsid w:val="00A66B8E"/>
    <w:rsid w:val="00AA4586"/>
    <w:rsid w:val="00AA63A9"/>
    <w:rsid w:val="00AF3D2D"/>
    <w:rsid w:val="00B061EB"/>
    <w:rsid w:val="00B07798"/>
    <w:rsid w:val="00B1546B"/>
    <w:rsid w:val="00B215FA"/>
    <w:rsid w:val="00B41FB0"/>
    <w:rsid w:val="00B43ED8"/>
    <w:rsid w:val="00B770F4"/>
    <w:rsid w:val="00B829F1"/>
    <w:rsid w:val="00B90A04"/>
    <w:rsid w:val="00BB287C"/>
    <w:rsid w:val="00BC47E1"/>
    <w:rsid w:val="00BD2B2E"/>
    <w:rsid w:val="00BF3253"/>
    <w:rsid w:val="00BF6E82"/>
    <w:rsid w:val="00C24809"/>
    <w:rsid w:val="00C44D40"/>
    <w:rsid w:val="00C608CF"/>
    <w:rsid w:val="00C60E66"/>
    <w:rsid w:val="00C7294A"/>
    <w:rsid w:val="00C822FD"/>
    <w:rsid w:val="00C97D75"/>
    <w:rsid w:val="00CB166A"/>
    <w:rsid w:val="00CB292D"/>
    <w:rsid w:val="00CB5655"/>
    <w:rsid w:val="00CC43E9"/>
    <w:rsid w:val="00CE3BCE"/>
    <w:rsid w:val="00CE5C54"/>
    <w:rsid w:val="00CE660B"/>
    <w:rsid w:val="00D02E05"/>
    <w:rsid w:val="00D2634A"/>
    <w:rsid w:val="00D464BC"/>
    <w:rsid w:val="00D556DF"/>
    <w:rsid w:val="00D646E2"/>
    <w:rsid w:val="00DA5183"/>
    <w:rsid w:val="00DA7F9B"/>
    <w:rsid w:val="00DF2C44"/>
    <w:rsid w:val="00E02869"/>
    <w:rsid w:val="00E11C20"/>
    <w:rsid w:val="00E11CC2"/>
    <w:rsid w:val="00E13E30"/>
    <w:rsid w:val="00E17665"/>
    <w:rsid w:val="00E22542"/>
    <w:rsid w:val="00E42EAD"/>
    <w:rsid w:val="00E50EEE"/>
    <w:rsid w:val="00E562A5"/>
    <w:rsid w:val="00E90DC2"/>
    <w:rsid w:val="00EB6EF8"/>
    <w:rsid w:val="00ED189F"/>
    <w:rsid w:val="00ED1B5D"/>
    <w:rsid w:val="00EE3096"/>
    <w:rsid w:val="00EE462B"/>
    <w:rsid w:val="00F244E9"/>
    <w:rsid w:val="00FA7932"/>
    <w:rsid w:val="00FB5F3D"/>
    <w:rsid w:val="00FE0C72"/>
    <w:rsid w:val="00FF00B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D4FD"/>
  <w15:chartTrackingRefBased/>
  <w15:docId w15:val="{000C68F8-1916-46A3-BC56-58E66210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9C"/>
    <w:pPr>
      <w:spacing w:after="0" w:line="240" w:lineRule="auto"/>
    </w:pPr>
    <w:rPr>
      <w:rFonts w:ascii="Calibri" w:hAnsi="Calibri" w:cs="Calibri"/>
      <w:kern w:val="0"/>
    </w:rPr>
  </w:style>
  <w:style w:type="paragraph" w:styleId="Heading1">
    <w:name w:val="heading 1"/>
    <w:basedOn w:val="Normal"/>
    <w:link w:val="Heading1Char"/>
    <w:uiPriority w:val="9"/>
    <w:qFormat/>
    <w:rsid w:val="000E179C"/>
    <w:pPr>
      <w:ind w:left="20"/>
      <w:outlineLvl w:val="0"/>
    </w:pPr>
    <w:rPr>
      <w:b/>
      <w:bCs/>
      <w:sz w:val="26"/>
      <w:szCs w:val="26"/>
    </w:rPr>
  </w:style>
  <w:style w:type="paragraph" w:styleId="Heading2">
    <w:name w:val="heading 2"/>
    <w:basedOn w:val="Normal"/>
    <w:link w:val="Heading2Char"/>
    <w:uiPriority w:val="9"/>
    <w:unhideWhenUsed/>
    <w:qFormat/>
    <w:rsid w:val="000E179C"/>
    <w:pPr>
      <w:spacing w:before="1"/>
      <w:ind w:left="878"/>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9C"/>
    <w:rPr>
      <w:rFonts w:ascii="Calibri" w:hAnsi="Calibri" w:cs="Calibri"/>
      <w:b/>
      <w:bCs/>
      <w:kern w:val="0"/>
      <w:sz w:val="26"/>
      <w:szCs w:val="26"/>
    </w:rPr>
  </w:style>
  <w:style w:type="character" w:customStyle="1" w:styleId="Heading2Char">
    <w:name w:val="Heading 2 Char"/>
    <w:basedOn w:val="DefaultParagraphFont"/>
    <w:link w:val="Heading2"/>
    <w:uiPriority w:val="9"/>
    <w:rsid w:val="000E179C"/>
    <w:rPr>
      <w:rFonts w:ascii="Calibri" w:hAnsi="Calibri" w:cs="Calibri"/>
      <w:b/>
      <w:bCs/>
      <w:kern w:val="0"/>
      <w:sz w:val="26"/>
      <w:szCs w:val="26"/>
    </w:rPr>
  </w:style>
  <w:style w:type="table" w:customStyle="1" w:styleId="TableNormal1">
    <w:name w:val="Table Normal1"/>
    <w:uiPriority w:val="2"/>
    <w:semiHidden/>
    <w:unhideWhenUsed/>
    <w:qFormat/>
    <w:rsid w:val="000E179C"/>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OC1">
    <w:name w:val="toc 1"/>
    <w:basedOn w:val="Normal"/>
    <w:uiPriority w:val="39"/>
    <w:qFormat/>
    <w:rsid w:val="000E179C"/>
    <w:pPr>
      <w:spacing w:before="37"/>
      <w:ind w:left="1306" w:hanging="1101"/>
    </w:pPr>
    <w:rPr>
      <w:b/>
      <w:bCs/>
      <w:sz w:val="26"/>
      <w:szCs w:val="26"/>
    </w:rPr>
  </w:style>
  <w:style w:type="paragraph" w:styleId="TOC2">
    <w:name w:val="toc 2"/>
    <w:basedOn w:val="Normal"/>
    <w:uiPriority w:val="39"/>
    <w:qFormat/>
    <w:rsid w:val="000E179C"/>
    <w:pPr>
      <w:spacing w:before="44"/>
      <w:ind w:left="878"/>
    </w:pPr>
    <w:rPr>
      <w:b/>
      <w:bCs/>
      <w:sz w:val="26"/>
      <w:szCs w:val="26"/>
    </w:rPr>
  </w:style>
  <w:style w:type="paragraph" w:styleId="TOC3">
    <w:name w:val="toc 3"/>
    <w:basedOn w:val="Normal"/>
    <w:uiPriority w:val="1"/>
    <w:qFormat/>
    <w:rsid w:val="000E179C"/>
    <w:pPr>
      <w:spacing w:before="44"/>
      <w:ind w:left="878"/>
    </w:pPr>
    <w:rPr>
      <w:sz w:val="26"/>
      <w:szCs w:val="26"/>
    </w:rPr>
  </w:style>
  <w:style w:type="paragraph" w:styleId="TOC4">
    <w:name w:val="toc 4"/>
    <w:basedOn w:val="Normal"/>
    <w:uiPriority w:val="1"/>
    <w:qFormat/>
    <w:rsid w:val="000E179C"/>
    <w:pPr>
      <w:spacing w:before="44"/>
      <w:ind w:left="1694" w:hanging="389"/>
    </w:pPr>
    <w:rPr>
      <w:sz w:val="26"/>
      <w:szCs w:val="26"/>
    </w:rPr>
  </w:style>
  <w:style w:type="paragraph" w:styleId="BodyText">
    <w:name w:val="Body Text"/>
    <w:basedOn w:val="Normal"/>
    <w:link w:val="BodyTextChar"/>
    <w:uiPriority w:val="1"/>
    <w:qFormat/>
    <w:rsid w:val="000E179C"/>
    <w:rPr>
      <w:sz w:val="26"/>
      <w:szCs w:val="26"/>
    </w:rPr>
  </w:style>
  <w:style w:type="character" w:customStyle="1" w:styleId="BodyTextChar">
    <w:name w:val="Body Text Char"/>
    <w:basedOn w:val="DefaultParagraphFont"/>
    <w:link w:val="BodyText"/>
    <w:uiPriority w:val="1"/>
    <w:rsid w:val="000E179C"/>
    <w:rPr>
      <w:rFonts w:ascii="Calibri" w:hAnsi="Calibri" w:cs="Calibri"/>
      <w:kern w:val="0"/>
      <w:sz w:val="26"/>
      <w:szCs w:val="26"/>
    </w:rPr>
  </w:style>
  <w:style w:type="paragraph" w:styleId="Title">
    <w:name w:val="Title"/>
    <w:basedOn w:val="Normal"/>
    <w:link w:val="TitleChar"/>
    <w:uiPriority w:val="10"/>
    <w:qFormat/>
    <w:rsid w:val="000E179C"/>
    <w:pPr>
      <w:spacing w:before="79"/>
      <w:ind w:left="1420" w:right="224"/>
      <w:jc w:val="center"/>
    </w:pPr>
    <w:rPr>
      <w:b/>
      <w:bCs/>
      <w:sz w:val="52"/>
      <w:szCs w:val="52"/>
    </w:rPr>
  </w:style>
  <w:style w:type="character" w:customStyle="1" w:styleId="TitleChar">
    <w:name w:val="Title Char"/>
    <w:basedOn w:val="DefaultParagraphFont"/>
    <w:link w:val="Title"/>
    <w:uiPriority w:val="10"/>
    <w:rsid w:val="000E179C"/>
    <w:rPr>
      <w:rFonts w:ascii="Calibri" w:hAnsi="Calibri" w:cs="Calibri"/>
      <w:b/>
      <w:bCs/>
      <w:kern w:val="0"/>
      <w:sz w:val="52"/>
      <w:szCs w:val="52"/>
    </w:r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Heading1,body 2"/>
    <w:basedOn w:val="Normal"/>
    <w:link w:val="ListParagraphChar"/>
    <w:uiPriority w:val="34"/>
    <w:qFormat/>
    <w:rsid w:val="000E179C"/>
    <w:pPr>
      <w:spacing w:before="44"/>
      <w:ind w:left="878" w:firstLine="427"/>
    </w:pPr>
  </w:style>
  <w:style w:type="paragraph" w:customStyle="1" w:styleId="TableParagraph">
    <w:name w:val="Table Paragraph"/>
    <w:basedOn w:val="Normal"/>
    <w:uiPriority w:val="1"/>
    <w:qFormat/>
    <w:rsid w:val="000E179C"/>
    <w:pPr>
      <w:spacing w:before="16"/>
    </w:pPr>
  </w:style>
  <w:style w:type="paragraph" w:styleId="Header">
    <w:name w:val="header"/>
    <w:basedOn w:val="Normal"/>
    <w:link w:val="HeaderChar"/>
    <w:uiPriority w:val="99"/>
    <w:unhideWhenUsed/>
    <w:rsid w:val="000E179C"/>
    <w:pPr>
      <w:tabs>
        <w:tab w:val="center" w:pos="4677"/>
        <w:tab w:val="right" w:pos="9355"/>
      </w:tabs>
    </w:pPr>
  </w:style>
  <w:style w:type="character" w:customStyle="1" w:styleId="HeaderChar">
    <w:name w:val="Header Char"/>
    <w:basedOn w:val="DefaultParagraphFont"/>
    <w:link w:val="Header"/>
    <w:uiPriority w:val="99"/>
    <w:rsid w:val="000E179C"/>
    <w:rPr>
      <w:rFonts w:ascii="Calibri" w:hAnsi="Calibri" w:cs="Calibri"/>
      <w:kern w:val="0"/>
    </w:rPr>
  </w:style>
  <w:style w:type="paragraph" w:styleId="Footer">
    <w:name w:val="footer"/>
    <w:basedOn w:val="Normal"/>
    <w:link w:val="FooterChar"/>
    <w:uiPriority w:val="99"/>
    <w:unhideWhenUsed/>
    <w:rsid w:val="000E179C"/>
    <w:pPr>
      <w:tabs>
        <w:tab w:val="center" w:pos="4677"/>
        <w:tab w:val="right" w:pos="9355"/>
      </w:tabs>
    </w:pPr>
  </w:style>
  <w:style w:type="character" w:customStyle="1" w:styleId="FooterChar">
    <w:name w:val="Footer Char"/>
    <w:basedOn w:val="DefaultParagraphFont"/>
    <w:link w:val="Footer"/>
    <w:uiPriority w:val="99"/>
    <w:rsid w:val="000E179C"/>
    <w:rPr>
      <w:rFonts w:ascii="Calibri" w:hAnsi="Calibri" w:cs="Calibri"/>
      <w:kern w:val="0"/>
    </w:rPr>
  </w:style>
  <w:style w:type="paragraph" w:styleId="Revision">
    <w:name w:val="Revision"/>
    <w:hidden/>
    <w:uiPriority w:val="99"/>
    <w:semiHidden/>
    <w:rsid w:val="000E179C"/>
    <w:pPr>
      <w:spacing w:after="0" w:line="240" w:lineRule="auto"/>
    </w:pPr>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0E179C"/>
    <w:rPr>
      <w:sz w:val="16"/>
      <w:szCs w:val="16"/>
    </w:rPr>
  </w:style>
  <w:style w:type="paragraph" w:styleId="CommentText">
    <w:name w:val="annotation text"/>
    <w:basedOn w:val="Normal"/>
    <w:link w:val="CommentTextChar"/>
    <w:uiPriority w:val="99"/>
    <w:unhideWhenUsed/>
    <w:rsid w:val="000E179C"/>
    <w:rPr>
      <w:sz w:val="20"/>
      <w:szCs w:val="20"/>
    </w:rPr>
  </w:style>
  <w:style w:type="character" w:customStyle="1" w:styleId="CommentTextChar">
    <w:name w:val="Comment Text Char"/>
    <w:basedOn w:val="DefaultParagraphFont"/>
    <w:link w:val="CommentText"/>
    <w:uiPriority w:val="99"/>
    <w:rsid w:val="000E179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0E179C"/>
    <w:rPr>
      <w:b/>
      <w:bCs/>
    </w:rPr>
  </w:style>
  <w:style w:type="character" w:customStyle="1" w:styleId="CommentSubjectChar">
    <w:name w:val="Comment Subject Char"/>
    <w:basedOn w:val="CommentTextChar"/>
    <w:link w:val="CommentSubject"/>
    <w:uiPriority w:val="99"/>
    <w:semiHidden/>
    <w:rsid w:val="000E179C"/>
    <w:rPr>
      <w:rFonts w:ascii="Calibri" w:hAnsi="Calibri" w:cs="Calibri"/>
      <w:b/>
      <w:bCs/>
      <w:kern w:val="0"/>
      <w:sz w:val="20"/>
      <w:szCs w:val="20"/>
    </w:rPr>
  </w:style>
  <w:style w:type="paragraph" w:styleId="FootnoteText">
    <w:name w:val="footnote text"/>
    <w:basedOn w:val="Normal"/>
    <w:link w:val="FootnoteTextChar"/>
    <w:uiPriority w:val="99"/>
    <w:semiHidden/>
    <w:unhideWhenUsed/>
    <w:rsid w:val="000E179C"/>
    <w:rPr>
      <w:sz w:val="20"/>
      <w:szCs w:val="20"/>
    </w:rPr>
  </w:style>
  <w:style w:type="character" w:customStyle="1" w:styleId="FootnoteTextChar">
    <w:name w:val="Footnote Text Char"/>
    <w:basedOn w:val="DefaultParagraphFont"/>
    <w:link w:val="FootnoteText"/>
    <w:uiPriority w:val="99"/>
    <w:semiHidden/>
    <w:rsid w:val="000E179C"/>
    <w:rPr>
      <w:rFonts w:ascii="Calibri" w:hAnsi="Calibri" w:cs="Calibri"/>
      <w:kern w:val="0"/>
      <w:sz w:val="20"/>
      <w:szCs w:val="20"/>
    </w:rPr>
  </w:style>
  <w:style w:type="character" w:styleId="FootnoteReference">
    <w:name w:val="footnote reference"/>
    <w:basedOn w:val="DefaultParagraphFont"/>
    <w:uiPriority w:val="99"/>
    <w:semiHidden/>
    <w:unhideWhenUsed/>
    <w:rsid w:val="000E179C"/>
    <w:rPr>
      <w:vertAlign w:val="superscript"/>
    </w:rPr>
  </w:style>
  <w:style w:type="character" w:styleId="Hyperlink">
    <w:name w:val="Hyperlink"/>
    <w:basedOn w:val="DefaultParagraphFont"/>
    <w:uiPriority w:val="99"/>
    <w:unhideWhenUsed/>
    <w:rsid w:val="000E179C"/>
    <w:rPr>
      <w:color w:val="0563C1" w:themeColor="hyperlink"/>
      <w:u w:val="single"/>
    </w:rPr>
  </w:style>
  <w:style w:type="character" w:customStyle="1" w:styleId="a">
    <w:name w:val="Основной текст_"/>
    <w:basedOn w:val="DefaultParagraphFont"/>
    <w:link w:val="1"/>
    <w:rsid w:val="000E179C"/>
    <w:rPr>
      <w:rFonts w:ascii="Arial Narrow" w:eastAsia="Arial Narrow" w:hAnsi="Arial Narrow" w:cs="Arial Narrow"/>
      <w:shd w:val="clear" w:color="auto" w:fill="FFFFFF"/>
    </w:rPr>
  </w:style>
  <w:style w:type="paragraph" w:customStyle="1" w:styleId="1">
    <w:name w:val="Основной текст1"/>
    <w:basedOn w:val="Normal"/>
    <w:link w:val="a"/>
    <w:rsid w:val="000E179C"/>
    <w:pPr>
      <w:shd w:val="clear" w:color="auto" w:fill="FFFFFF"/>
      <w:spacing w:before="4680" w:line="0" w:lineRule="atLeast"/>
      <w:ind w:hanging="520"/>
    </w:pPr>
    <w:rPr>
      <w:rFonts w:ascii="Arial Narrow" w:eastAsia="Arial Narrow" w:hAnsi="Arial Narrow" w:cs="Arial Narrow"/>
      <w:kern w:val="2"/>
    </w:rPr>
  </w:style>
  <w:style w:type="character" w:customStyle="1" w:styleId="3">
    <w:name w:val="Основной текст (3)_"/>
    <w:basedOn w:val="DefaultParagraphFont"/>
    <w:link w:val="30"/>
    <w:rsid w:val="000E179C"/>
    <w:rPr>
      <w:rFonts w:ascii="Arial Narrow" w:eastAsia="Arial Narrow" w:hAnsi="Arial Narrow" w:cs="Arial Narrow"/>
      <w:b/>
      <w:bCs/>
      <w:shd w:val="clear" w:color="auto" w:fill="FFFFFF"/>
    </w:rPr>
  </w:style>
  <w:style w:type="paragraph" w:customStyle="1" w:styleId="30">
    <w:name w:val="Основной текст (3)"/>
    <w:basedOn w:val="Normal"/>
    <w:link w:val="3"/>
    <w:rsid w:val="000E179C"/>
    <w:pPr>
      <w:shd w:val="clear" w:color="auto" w:fill="FFFFFF"/>
      <w:spacing w:after="240" w:line="0" w:lineRule="atLeast"/>
      <w:ind w:hanging="360"/>
    </w:pPr>
    <w:rPr>
      <w:rFonts w:ascii="Arial Narrow" w:eastAsia="Arial Narrow" w:hAnsi="Arial Narrow" w:cs="Arial Narrow"/>
      <w:b/>
      <w:bCs/>
      <w:kern w:val="2"/>
    </w:rPr>
  </w:style>
  <w:style w:type="paragraph" w:styleId="TOCHeading">
    <w:name w:val="TOC Heading"/>
    <w:basedOn w:val="Heading1"/>
    <w:next w:val="Normal"/>
    <w:uiPriority w:val="39"/>
    <w:unhideWhenUsed/>
    <w:qFormat/>
    <w:rsid w:val="000E179C"/>
    <w:pPr>
      <w:keepNext/>
      <w:keepLines/>
      <w:spacing w:before="240"/>
      <w:ind w:left="0"/>
      <w:outlineLvl w:val="9"/>
    </w:pPr>
    <w:rPr>
      <w:rFonts w:asciiTheme="majorHAnsi" w:eastAsiaTheme="majorEastAsia" w:hAnsiTheme="majorHAnsi" w:cstheme="majorBidi"/>
      <w:b w:val="0"/>
      <w:bCs w:val="0"/>
      <w:color w:val="2E74B5" w:themeColor="accent1" w:themeShade="BF"/>
      <w:sz w:val="32"/>
      <w:szCs w:val="32"/>
    </w:rPr>
  </w:style>
  <w:style w:type="paragraph" w:styleId="BalloonText">
    <w:name w:val="Balloon Text"/>
    <w:basedOn w:val="Normal"/>
    <w:link w:val="BalloonTextChar"/>
    <w:uiPriority w:val="99"/>
    <w:semiHidden/>
    <w:unhideWhenUsed/>
    <w:rsid w:val="000E1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79C"/>
    <w:rPr>
      <w:rFonts w:ascii="Segoe UI" w:hAnsi="Segoe UI" w:cs="Segoe UI"/>
      <w:kern w:val="0"/>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qFormat/>
    <w:locked/>
    <w:rsid w:val="000E179C"/>
    <w:rPr>
      <w:rFonts w:ascii="Calibri" w:hAnsi="Calibri" w:cs="Calibri"/>
      <w:kern w:val="0"/>
    </w:rPr>
  </w:style>
  <w:style w:type="character" w:customStyle="1" w:styleId="10">
    <w:name w:val="Неразрешенное упоминание1"/>
    <w:basedOn w:val="DefaultParagraphFont"/>
    <w:uiPriority w:val="99"/>
    <w:semiHidden/>
    <w:unhideWhenUsed/>
    <w:rsid w:val="000E179C"/>
    <w:rPr>
      <w:color w:val="605E5C"/>
      <w:shd w:val="clear" w:color="auto" w:fill="E1DFDD"/>
    </w:rPr>
  </w:style>
  <w:style w:type="character" w:styleId="FollowedHyperlink">
    <w:name w:val="FollowedHyperlink"/>
    <w:basedOn w:val="DefaultParagraphFont"/>
    <w:uiPriority w:val="99"/>
    <w:semiHidden/>
    <w:unhideWhenUsed/>
    <w:rsid w:val="000E179C"/>
    <w:rPr>
      <w:color w:val="954F72" w:themeColor="followedHyperlink"/>
      <w:u w:val="single"/>
    </w:rPr>
  </w:style>
  <w:style w:type="table" w:customStyle="1" w:styleId="GrilTabel3">
    <w:name w:val="Grilă Tabel3"/>
    <w:basedOn w:val="TableNormal"/>
    <w:uiPriority w:val="59"/>
    <w:rsid w:val="000E179C"/>
    <w:pPr>
      <w:spacing w:after="0" w:line="240" w:lineRule="auto"/>
      <w:ind w:firstLine="360"/>
    </w:pPr>
    <w:rPr>
      <w:rFonts w:ascii="Calibri" w:eastAsia="Calibri" w:hAnsi="Calibri" w:cs="Arial"/>
      <w:kern w:val="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link w:val="Normal1"/>
    <w:rsid w:val="000E179C"/>
    <w:pPr>
      <w:autoSpaceDE w:val="0"/>
      <w:autoSpaceDN w:val="0"/>
      <w:adjustRightInd w:val="0"/>
      <w:spacing w:after="0" w:line="240" w:lineRule="auto"/>
    </w:pPr>
    <w:rPr>
      <w:rFonts w:ascii="Arial" w:eastAsia="Times New Roman" w:hAnsi="Arial" w:cs="Arial"/>
      <w:kern w:val="0"/>
      <w:sz w:val="24"/>
      <w:szCs w:val="24"/>
      <w:lang w:val="ru-RU" w:eastAsia="ru-RU"/>
    </w:rPr>
  </w:style>
  <w:style w:type="character" w:customStyle="1" w:styleId="Normal1">
    <w:name w:val="[Normal] Знак"/>
    <w:link w:val="Normal0"/>
    <w:rsid w:val="000E179C"/>
    <w:rPr>
      <w:rFonts w:ascii="Arial" w:eastAsia="Times New Roman" w:hAnsi="Arial" w:cs="Arial"/>
      <w:kern w:val="0"/>
      <w:sz w:val="24"/>
      <w:szCs w:val="24"/>
      <w:lang w:val="ru-RU" w:eastAsia="ru-RU"/>
    </w:rPr>
  </w:style>
  <w:style w:type="paragraph" w:customStyle="1" w:styleId="2">
    <w:name w:val="Основной текст2"/>
    <w:basedOn w:val="Normal"/>
    <w:rsid w:val="000E179C"/>
    <w:pPr>
      <w:widowControl w:val="0"/>
      <w:shd w:val="clear" w:color="auto" w:fill="FFFFFF"/>
      <w:spacing w:before="4680" w:line="0" w:lineRule="atLeast"/>
      <w:ind w:hanging="520"/>
    </w:pPr>
    <w:rPr>
      <w:rFonts w:ascii="Arial Narrow" w:eastAsia="Arial Narrow" w:hAnsi="Arial Narrow" w:cs="Arial Narrow"/>
      <w:kern w:val="2"/>
    </w:rPr>
  </w:style>
  <w:style w:type="paragraph" w:styleId="NormalWeb">
    <w:name w:val="Normal (Web)"/>
    <w:basedOn w:val="Normal"/>
    <w:uiPriority w:val="99"/>
    <w:semiHidden/>
    <w:unhideWhenUsed/>
    <w:rsid w:val="000E179C"/>
    <w:pPr>
      <w:spacing w:before="100" w:beforeAutospacing="1" w:after="100" w:afterAutospacing="1"/>
    </w:pPr>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0E179C"/>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0E179C"/>
    <w:rPr>
      <w:color w:val="605E5C"/>
      <w:shd w:val="clear" w:color="auto" w:fill="E1DFDD"/>
    </w:rPr>
  </w:style>
  <w:style w:type="paragraph" w:customStyle="1" w:styleId="rg">
    <w:name w:val="rg"/>
    <w:basedOn w:val="Normal"/>
    <w:rsid w:val="006F172A"/>
    <w:pPr>
      <w:jc w:val="righ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39907">
      <w:bodyDiv w:val="1"/>
      <w:marLeft w:val="0"/>
      <w:marRight w:val="0"/>
      <w:marTop w:val="0"/>
      <w:marBottom w:val="0"/>
      <w:divBdr>
        <w:top w:val="none" w:sz="0" w:space="0" w:color="auto"/>
        <w:left w:val="none" w:sz="0" w:space="0" w:color="auto"/>
        <w:bottom w:val="none" w:sz="0" w:space="0" w:color="auto"/>
        <w:right w:val="none" w:sz="0" w:space="0" w:color="auto"/>
      </w:divBdr>
    </w:div>
    <w:div w:id="7672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tg.md/" TargetMode="External"/><Relationship Id="rId5" Type="http://schemas.openxmlformats.org/officeDocument/2006/relationships/webSettings" Target="webSettings.xml"/><Relationship Id="rId10" Type="http://schemas.openxmlformats.org/officeDocument/2006/relationships/hyperlink" Target="mailto:ee@vmtg.md"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re.md/index.php/registrul-titularilor-de-autorizatii-3-27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a:solidFill>
                  <a:sysClr val="windowText" lastClr="000000"/>
                </a:solidFill>
                <a:latin typeface="Times New Roman" panose="02020603050405020304" pitchFamily="18" charset="0"/>
                <a:cs typeface="Times New Roman" panose="02020603050405020304" pitchFamily="18" charset="0"/>
              </a:rPr>
              <a:t>Tranzacții în PVT</a:t>
            </a:r>
          </a:p>
        </c:rich>
      </c:tx>
      <c:layout>
        <c:manualLayout>
          <c:xMode val="edge"/>
          <c:yMode val="edge"/>
          <c:x val="0.29284234073013599"/>
          <c:y val="2.830182323466251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47039953339166"/>
          <c:y val="0.18910377358490565"/>
          <c:w val="0.85449256342957125"/>
          <c:h val="0.66525887683850837"/>
        </c:manualLayout>
      </c:layout>
      <c:bar3DChart>
        <c:barDir val="bar"/>
        <c:grouping val="stacked"/>
        <c:varyColors val="0"/>
        <c:ser>
          <c:idx val="0"/>
          <c:order val="0"/>
          <c:tx>
            <c:strRef>
              <c:f>Sheet1!$B$1</c:f>
              <c:strCache>
                <c:ptCount val="1"/>
                <c:pt idx="0">
                  <c:v>MWh</c:v>
                </c:pt>
              </c:strCache>
            </c:strRef>
          </c:tx>
          <c:spPr>
            <a:solidFill>
              <a:schemeClr val="accent6">
                <a:lumMod val="60000"/>
                <a:lumOff val="40000"/>
              </a:schemeClr>
            </a:solidFill>
            <a:ln>
              <a:noFill/>
            </a:ln>
            <a:effectLst/>
            <a:sp3d/>
          </c:spPr>
          <c:invertIfNegative val="0"/>
          <c:dLbls>
            <c:dLbl>
              <c:idx val="0"/>
              <c:tx>
                <c:rich>
                  <a:bodyPr/>
                  <a:lstStyle/>
                  <a:p>
                    <a:fld id="{2A18ED88-BEEE-42E1-8010-96014652A89D}" type="VALUE">
                      <a:rPr lang="en-US">
                        <a:solidFill>
                          <a:sysClr val="windowText" lastClr="000000"/>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B2-4F47-BC62-53D5D6AE8F4E}"/>
                </c:ext>
              </c:extLst>
            </c:dLbl>
            <c:dLbl>
              <c:idx val="1"/>
              <c:tx>
                <c:rich>
                  <a:bodyPr/>
                  <a:lstStyle/>
                  <a:p>
                    <a:fld id="{755C6319-5B51-43FE-979D-1A3A74ACE3AE}" type="VALUE">
                      <a:rPr lang="en-US">
                        <a:solidFill>
                          <a:sysClr val="windowText" lastClr="000000"/>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DB2-4F47-BC62-53D5D6AE8F4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Anul 2025</c:v>
                </c:pt>
                <c:pt idx="1">
                  <c:v>Anul 2024</c:v>
                </c:pt>
              </c:strCache>
            </c:strRef>
          </c:cat>
          <c:val>
            <c:numRef>
              <c:f>Sheet1!$B$2:$B$3</c:f>
              <c:numCache>
                <c:formatCode>#,##0</c:formatCode>
                <c:ptCount val="2"/>
                <c:pt idx="0">
                  <c:v>5304696</c:v>
                </c:pt>
                <c:pt idx="1">
                  <c:v>2935377</c:v>
                </c:pt>
              </c:numCache>
            </c:numRef>
          </c:val>
          <c:extLst>
            <c:ext xmlns:c16="http://schemas.microsoft.com/office/drawing/2014/chart" uri="{C3380CC4-5D6E-409C-BE32-E72D297353CC}">
              <c16:uniqueId val="{00000000-3DB2-4F47-BC62-53D5D6AE8F4E}"/>
            </c:ext>
          </c:extLst>
        </c:ser>
        <c:dLbls>
          <c:showLegendKey val="0"/>
          <c:showVal val="1"/>
          <c:showCatName val="0"/>
          <c:showSerName val="0"/>
          <c:showPercent val="0"/>
          <c:showBubbleSize val="0"/>
        </c:dLbls>
        <c:gapWidth val="150"/>
        <c:shape val="box"/>
        <c:axId val="166694096"/>
        <c:axId val="166696016"/>
        <c:axId val="0"/>
      </c:bar3DChart>
      <c:catAx>
        <c:axId val="16669409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6696016"/>
        <c:crosses val="autoZero"/>
        <c:auto val="1"/>
        <c:lblAlgn val="ctr"/>
        <c:lblOffset val="100"/>
        <c:noMultiLvlLbl val="0"/>
      </c:catAx>
      <c:valAx>
        <c:axId val="166696016"/>
        <c:scaling>
          <c:orientation val="minMax"/>
        </c:scaling>
        <c:delete val="1"/>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16669409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72705236874357E-2"/>
          <c:y val="0.12667741972782035"/>
          <c:w val="0.89019621245261005"/>
          <c:h val="0.62023049706892364"/>
        </c:manualLayout>
      </c:layout>
      <c:barChart>
        <c:barDir val="col"/>
        <c:grouping val="clustered"/>
        <c:varyColors val="0"/>
        <c:ser>
          <c:idx val="0"/>
          <c:order val="0"/>
          <c:tx>
            <c:strRef>
              <c:f>Foaie1!$B$1</c:f>
              <c:strCache>
                <c:ptCount val="1"/>
                <c:pt idx="0">
                  <c:v>MWh</c:v>
                </c:pt>
              </c:strCache>
            </c:strRef>
          </c:tx>
          <c:spPr>
            <a:solidFill>
              <a:schemeClr val="accent6">
                <a:alpha val="70000"/>
              </a:schemeClr>
            </a:solidFill>
            <a:ln>
              <a:noFill/>
            </a:ln>
            <a:effectLst/>
          </c:spPr>
          <c:invertIfNegative val="0"/>
          <c:dLbls>
            <c:dLbl>
              <c:idx val="0"/>
              <c:layout>
                <c:manualLayout>
                  <c:x val="0"/>
                  <c:y val="4.93773630719060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23-4EB3-A9DE-2FBB94615CAB}"/>
                </c:ext>
              </c:extLst>
            </c:dLbl>
            <c:dLbl>
              <c:idx val="1"/>
              <c:layout>
                <c:manualLayout>
                  <c:x val="0"/>
                  <c:y val="4.93773630719067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23-4EB3-A9DE-2FBB94615CAB}"/>
                </c:ext>
              </c:extLst>
            </c:dLbl>
            <c:dLbl>
              <c:idx val="2"/>
              <c:layout>
                <c:manualLayout>
                  <c:x val="1.9290123456789769E-3"/>
                  <c:y val="4.93773630719067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23-4EB3-A9DE-2FBB94615CAB}"/>
                </c:ext>
              </c:extLst>
            </c:dLbl>
            <c:dLbl>
              <c:idx val="3"/>
              <c:layout>
                <c:manualLayout>
                  <c:x val="1.9290123456790478E-3"/>
                  <c:y val="-5.74704868939840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23-4EB3-A9DE-2FBB94615CAB}"/>
                </c:ext>
              </c:extLst>
            </c:dLbl>
            <c:dLbl>
              <c:idx val="4"/>
              <c:layout>
                <c:manualLayout>
                  <c:x val="3.8580246913580245E-3"/>
                  <c:y val="1.59509521662215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23-4EB3-A9DE-2FBB94615CAB}"/>
                </c:ext>
              </c:extLst>
            </c:dLbl>
            <c:dLbl>
              <c:idx val="5"/>
              <c:layout>
                <c:manualLayout>
                  <c:x val="3.8580246913580245E-3"/>
                  <c:y val="1.22798802132111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23-4EB3-A9DE-2FBB94615CAB}"/>
                </c:ext>
              </c:extLst>
            </c:dLbl>
            <c:dLbl>
              <c:idx val="6"/>
              <c:layout>
                <c:manualLayout>
                  <c:x val="1.9290123456790122E-3"/>
                  <c:y val="1.22798802132112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23-4EB3-A9DE-2FBB94615CAB}"/>
                </c:ext>
              </c:extLst>
            </c:dLbl>
            <c:dLbl>
              <c:idx val="7"/>
              <c:layout>
                <c:manualLayout>
                  <c:x val="-7.0729635600111065E-17"/>
                  <c:y val="4.93773630719060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23-4EB3-A9DE-2FBB94615CAB}"/>
                </c:ext>
              </c:extLst>
            </c:dLbl>
            <c:dLbl>
              <c:idx val="8"/>
              <c:layout>
                <c:manualLayout>
                  <c:x val="1.9290123456788709E-3"/>
                  <c:y val="6.42524310011909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23-4EB3-A9DE-2FBB94615CAB}"/>
                </c:ext>
              </c:extLst>
            </c:dLbl>
            <c:dLbl>
              <c:idx val="9"/>
              <c:layout>
                <c:manualLayout>
                  <c:x val="-1.9290123456790122E-3"/>
                  <c:y val="6.29747823372298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23-4EB3-A9DE-2FBB94615CAB}"/>
                </c:ext>
              </c:extLst>
            </c:dLbl>
            <c:dLbl>
              <c:idx val="10"/>
              <c:layout>
                <c:manualLayout>
                  <c:x val="0"/>
                  <c:y val="6.63481216830275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23-4EB3-A9DE-2FBB94615CAB}"/>
                </c:ext>
              </c:extLst>
            </c:dLbl>
            <c:dLbl>
              <c:idx val="12"/>
              <c:layout>
                <c:manualLayout>
                  <c:x val="1.1574074074074073E-2"/>
                  <c:y val="5.39213985916945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23-4EB3-A9DE-2FBB94615C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Foaie1!$A$2:$A$15</c:f>
              <c:strCache>
                <c:ptCount val="13"/>
                <c:pt idx="0">
                  <c:v>Octombrie 2024</c:v>
                </c:pt>
                <c:pt idx="1">
                  <c:v>Noiembrie 2024</c:v>
                </c:pt>
                <c:pt idx="2">
                  <c:v>Decembrie 2024</c:v>
                </c:pt>
                <c:pt idx="3">
                  <c:v>Ianuarie 2025</c:v>
                </c:pt>
                <c:pt idx="4">
                  <c:v>Februarie  2025</c:v>
                </c:pt>
                <c:pt idx="5">
                  <c:v>Martie  2025</c:v>
                </c:pt>
                <c:pt idx="6">
                  <c:v>Aprilie  2025</c:v>
                </c:pt>
                <c:pt idx="7">
                  <c:v>Mai  2025</c:v>
                </c:pt>
                <c:pt idx="8">
                  <c:v>Iunie  2025</c:v>
                </c:pt>
                <c:pt idx="9">
                  <c:v>Iulie  2025</c:v>
                </c:pt>
                <c:pt idx="10">
                  <c:v>August  2025</c:v>
                </c:pt>
                <c:pt idx="11">
                  <c:v>Septembrie  2025</c:v>
                </c:pt>
                <c:pt idx="12">
                  <c:v>Octombrie  2025</c:v>
                </c:pt>
              </c:strCache>
            </c:strRef>
          </c:cat>
          <c:val>
            <c:numRef>
              <c:f>Foaie1!$B$2:$B$15</c:f>
              <c:numCache>
                <c:formatCode>#,##0</c:formatCode>
                <c:ptCount val="14"/>
                <c:pt idx="0">
                  <c:v>507023</c:v>
                </c:pt>
                <c:pt idx="1">
                  <c:v>1344831.2250000001</c:v>
                </c:pt>
                <c:pt idx="2">
                  <c:v>1590637.213</c:v>
                </c:pt>
                <c:pt idx="3">
                  <c:v>1565266.0319999999</c:v>
                </c:pt>
                <c:pt idx="4">
                  <c:v>1674254.6310000001</c:v>
                </c:pt>
                <c:pt idx="5">
                  <c:v>1007218.387</c:v>
                </c:pt>
                <c:pt idx="6">
                  <c:v>525145.09900000005</c:v>
                </c:pt>
                <c:pt idx="7">
                  <c:v>309459.19699999999</c:v>
                </c:pt>
                <c:pt idx="8">
                  <c:v>178457</c:v>
                </c:pt>
                <c:pt idx="9">
                  <c:v>178086</c:v>
                </c:pt>
                <c:pt idx="10">
                  <c:v>179065</c:v>
                </c:pt>
                <c:pt idx="11">
                  <c:v>39499</c:v>
                </c:pt>
                <c:pt idx="12">
                  <c:v>70037.932000000001</c:v>
                </c:pt>
              </c:numCache>
            </c:numRef>
          </c:val>
          <c:extLst>
            <c:ext xmlns:c16="http://schemas.microsoft.com/office/drawing/2014/chart" uri="{C3380CC4-5D6E-409C-BE32-E72D297353CC}">
              <c16:uniqueId val="{0000000C-7C23-4EB3-A9DE-2FBB94615CAB}"/>
            </c:ext>
          </c:extLst>
        </c:ser>
        <c:dLbls>
          <c:showLegendKey val="0"/>
          <c:showVal val="1"/>
          <c:showCatName val="0"/>
          <c:showSerName val="0"/>
          <c:showPercent val="0"/>
          <c:showBubbleSize val="0"/>
        </c:dLbls>
        <c:gapWidth val="80"/>
        <c:overlap val="25"/>
        <c:axId val="905263391"/>
        <c:axId val="905263871"/>
      </c:barChart>
      <c:catAx>
        <c:axId val="905263391"/>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5263871"/>
        <c:crosses val="autoZero"/>
        <c:auto val="1"/>
        <c:lblAlgn val="ctr"/>
        <c:lblOffset val="100"/>
        <c:noMultiLvlLbl val="0"/>
      </c:catAx>
      <c:valAx>
        <c:axId val="90526387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905263391"/>
        <c:crosses val="autoZero"/>
        <c:crossBetween val="between"/>
      </c:valAx>
      <c:spPr>
        <a:noFill/>
        <a:ln>
          <a:noFill/>
        </a:ln>
        <a:effectLst/>
      </c:spPr>
    </c:plotArea>
    <c:legend>
      <c:legendPos val="b"/>
      <c:layout>
        <c:manualLayout>
          <c:xMode val="edge"/>
          <c:yMode val="edge"/>
          <c:x val="0.46455561995504602"/>
          <c:y val="0.93621968108257825"/>
          <c:w val="7.0888593778454856E-2"/>
          <c:h val="6.37803189174217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0.13194</cdr:x>
      <cdr:y>0.03524</cdr:y>
    </cdr:from>
    <cdr:to>
      <cdr:x>0.93981</cdr:x>
      <cdr:y>0.10132</cdr:y>
    </cdr:to>
    <cdr:sp macro="" textlink="">
      <cdr:nvSpPr>
        <cdr:cNvPr id="2" name="Casetă text 1"/>
        <cdr:cNvSpPr txBox="1"/>
      </cdr:nvSpPr>
      <cdr:spPr>
        <a:xfrm xmlns:a="http://schemas.openxmlformats.org/drawingml/2006/main">
          <a:off x="868680" y="121920"/>
          <a:ext cx="531876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kern="1200"/>
        </a:p>
      </cdr:txBody>
    </cdr:sp>
  </cdr:relSizeAnchor>
  <cdr:relSizeAnchor xmlns:cdr="http://schemas.openxmlformats.org/drawingml/2006/chartDrawing">
    <cdr:from>
      <cdr:x>0.06366</cdr:x>
      <cdr:y>0.02643</cdr:y>
    </cdr:from>
    <cdr:to>
      <cdr:x>0.94213</cdr:x>
      <cdr:y>0.11233</cdr:y>
    </cdr:to>
    <cdr:sp macro="" textlink="">
      <cdr:nvSpPr>
        <cdr:cNvPr id="3" name="Casetă text 2"/>
        <cdr:cNvSpPr txBox="1"/>
      </cdr:nvSpPr>
      <cdr:spPr>
        <a:xfrm xmlns:a="http://schemas.openxmlformats.org/drawingml/2006/main">
          <a:off x="419100" y="91440"/>
          <a:ext cx="5783580"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o-RO" sz="1100" b="1" kern="1200">
              <a:solidFill>
                <a:sysClr val="windowText" lastClr="000000"/>
              </a:solidFill>
              <a:latin typeface="Times New Roman" panose="02020603050405020304" pitchFamily="18" charset="0"/>
              <a:cs typeface="Times New Roman" panose="02020603050405020304" pitchFamily="18" charset="0"/>
            </a:rPr>
            <a:t>Tranzacții în PVT</a:t>
          </a:r>
          <a:endParaRPr lang="ru-RU" sz="1100" b="1" kern="120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4AC07-B8CD-4261-BA01-2C1EDAD7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Pages>
  <Words>6237</Words>
  <Characters>35557</Characters>
  <Application>Microsoft Office Word</Application>
  <DocSecurity>0</DocSecurity>
  <Lines>296</Lines>
  <Paragraphs>83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Elena Indries</cp:lastModifiedBy>
  <cp:revision>67</cp:revision>
  <cp:lastPrinted>2025-11-27T12:11:00Z</cp:lastPrinted>
  <dcterms:created xsi:type="dcterms:W3CDTF">2025-11-05T11:33:00Z</dcterms:created>
  <dcterms:modified xsi:type="dcterms:W3CDTF">2025-12-05T10:31:00Z</dcterms:modified>
</cp:coreProperties>
</file>